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4E5F"/>
          <w:sz w:val="44"/>
          <w:szCs w:val="44"/>
        </w:rPr>
        <w:t xml:space="preserve">Kusumgar Ltd</w:t>
      </w:r>
    </w:p>
    <w:p>
      <w:pPr>
        <w:pBdr>
          <w:bottom w:val="single" w:color="CCCCCC" w:sz="6" w:space="8"/>
        </w:pBdr>
        <w:spacing w:after="200"/>
      </w:pPr>
      <w:r>
        <w:rPr>
          <w:i/>
          <w:iCs/>
          <w:color w:val="666666"/>
          <w:sz w:val="22"/>
          <w:szCs w:val="22"/>
        </w:rPr>
        <w:t xml:space="preserve">Niche defense-parachute-fabric monopoly with a real margin inflection, but recently IPO'd and unproven at scale</w:t>
      </w:r>
    </w:p>
    <w:p>
      <w:pPr>
        <w:pStyle w:val="Heading1"/>
        <w:spacing w:after="120" w:before="280"/>
      </w:pPr>
      <w:r>
        <w:t xml:space="preserve">Business Overview</w:t>
      </w:r>
    </w:p>
    <w:p>
      <w:pPr>
        <w:spacing w:after="120"/>
      </w:pPr>
      <w:r>
        <w:t xml:space="preserve">Kusumgar is a 50-year-old technical-textiles maker with a near-monopoly in Indian military parachute fabrics (90-95% supplier to state-run Gliders India), diversified into Aerospace &amp; Defense, Industrial/Automotive, and Outdoor/Lifestyle fabric segments, plus a new Toray joint venture entering carbon-fiber prepreg.</w:t>
      </w:r>
    </w:p>
    <w:p>
      <w:pPr>
        <w:pStyle w:val="Heading1"/>
        <w:spacing w:after="120" w:before="280"/>
      </w:pPr>
      <w:r>
        <w:t xml:space="preserve">Fundamentals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00"/>
      </w:tblGrid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Market Cap</w:t>
            </w:r>
          </w:p>
        </w:tc>
        <w:tc>
          <w:tcPr>
            <w:tcW w:type="dxa" w:w="5800"/>
          </w:tcPr>
          <w:p>
            <w:r>
              <w:t xml:space="preserve">~Rs 6,010 Cr (implied ~Rs 5,000 Cr at IPO listing)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ROE</w:t>
            </w:r>
          </w:p>
        </w:tc>
        <w:tc>
          <w:tcPr>
            <w:tcW w:type="dxa" w:w="5800"/>
          </w:tcPr>
          <w:p>
            <w:r>
              <w:t xml:space="preserve">56.26% (last reported FY, likely distorted by recent capital structure/IPO)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ROCE</w:t>
            </w:r>
          </w:p>
        </w:tc>
        <w:tc>
          <w:tcPr>
            <w:tcW w:type="dxa" w:w="5800"/>
          </w:tcPr>
          <w:p>
            <w:r>
              <w:t xml:space="preserve">Not found this pass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Debt</w:t>
            </w:r>
          </w:p>
        </w:tc>
        <w:tc>
          <w:tcPr>
            <w:tcW w:type="dxa" w:w="5800"/>
          </w:tcPr>
          <w:p>
            <w:r>
              <w:t xml:space="preserve">Not quantified; debtor days worsened 59 to 117 days (working-capital caution)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Revenue growth</w:t>
            </w:r>
          </w:p>
        </w:tc>
        <w:tc>
          <w:tcPr>
            <w:tcW w:type="dxa" w:w="5800"/>
          </w:tcPr>
          <w:p>
            <w:r>
              <w:t xml:space="preserve">FY26 revenue fell 11.2% YoY (Rs 692 Cr vs Rs 779 Cr FY25) after a 66.5% FY25 surge; EBITDA margin 27.1% FY26 expanding to 31.0% in Q1 FY27</w:t>
            </w:r>
          </w:p>
        </w:tc>
      </w:tr>
      <w:tr>
        <w:tc>
          <w:tcPr>
            <w:tcW w:type="dxa" w:w="3200"/>
            <w:shd w:fill="F2F2F2" w:val="clear"/>
          </w:tcPr>
          <w:p>
            <w:r>
              <w:rPr>
                <w:b/>
                <w:bCs/>
              </w:rPr>
              <w:t xml:space="preserve">52-week range</w:t>
            </w:r>
          </w:p>
        </w:tc>
        <w:tc>
          <w:tcPr>
            <w:tcW w:type="dxa" w:w="5800"/>
          </w:tcPr>
          <w:p>
            <w:r>
              <w:t xml:space="preserve">Rs 548 - 659.5 (thinly traded since recent IPO)</w:t>
            </w:r>
          </w:p>
        </w:tc>
      </w:tr>
    </w:tbl>
    <w:p>
      <w:pPr>
        <w:spacing w:after="100"/>
      </w:pPr>
    </w:p>
    <w:p>
      <w:pPr>
        <w:spacing w:after="120"/>
      </w:pPr>
      <w:r>
        <w:t xml:space="preserve">The headline FY26 revenue decline looks weak in isolation, but the forum write-up explains it credibly: a temporary defense-order deferral (A&amp;D Fabrics/Solutions down 42%/30%) was cushioned by strong non-defense growth (Industrial/Automotive +46.4%, Outdoor +123.3%), while capacity was tripled (Kothwa facility) ahead of demand, depressing utilization (weaving 84.4%-&gt;62.5%) and setting up operating leverage. The genuine recent-quarter inflection signal: EBITDA margin already expanded to 31.0% in Q1 FY27 from 27.1% in FY26, and a deferred Rs 237 Cr defense contract is now guided for FY27 execution. Management guides revenue to &gt;Rs 2,000 Cr by FY30 (~3x current) with minimal further capex and asset turns of 4-5x. This is management guidance, not yet confirmed by multiple quarters of results -- unconfirmed inflection, not proven trend.</w:t>
      </w:r>
    </w:p>
    <w:p>
      <w:pPr>
        <w:pStyle w:val="Heading1"/>
        <w:spacing w:after="120" w:before="280"/>
      </w:pPr>
      <w:r>
        <w:t xml:space="preserve">Technical Read (Weekly / Monthly MACD + Bollinger Bands, or RSI/CCI/Williams %R proxy)</w:t>
      </w:r>
    </w:p>
    <w:p>
      <w:pPr>
        <w:spacing w:after="120"/>
      </w:pPr>
      <w:r>
        <w:t xml:space="preserve">Not checked -- stock is a recent IPO with a thin, narrow trading history (52-week range Rs 548-659.5), not enough chart history for a meaningful technical read.</w:t>
      </w:r>
    </w:p>
    <w:p>
      <w:pPr>
        <w:pStyle w:val="Heading1"/>
        <w:spacing w:after="120" w:before="280"/>
      </w:pPr>
      <w:r>
        <w:t xml:space="preserve">ValuePickr Community Signal</w:t>
      </w:r>
    </w:p>
    <w:p>
      <w:pPr>
        <w:spacing w:after="120"/>
      </w:pPr>
      <w:r>
        <w:t xml:space="preserve">Read the full thread (4 posts, brand-new topic started 2026-08-23). Opening post is a detailed, well-sourced bull write-up by Md_Uzair (non-trusted, self-identified Research Analyst at Aveksat Financial Advisory, discloses being invested). Trusted user Satishwe (elevated-tier) replied twice but with image-only content (likely supporting financial screenshots, not extractable as text) -- no written conviction call to log.</w:t>
      </w:r>
    </w:p>
    <w:p>
      <w:pPr>
        <w:spacing w:after="120"/>
      </w:pPr>
      <w:r>
        <w:rPr>
          <w:b/>
          <w:bCs/>
          <w:sz w:val="20"/>
          <w:szCs w:val="20"/>
        </w:rPr>
        <w:t xml:space="preserve">High-conviction call from a top contributor: </w:t>
      </w:r>
      <w:r>
        <w:rPr>
          <w:sz w:val="20"/>
          <w:szCs w:val="20"/>
        </w:rPr>
        <w:t xml:space="preserve">Only one substantive voice so far (Md_Uzair, not on the trusted roster, but discloses being invested and provides a well-referenced writeup with specific numbers, contracts, and competitor mapping). Satishwe (trusted) engaged with images but no text commentary -- can't be logged as a conviction call without content.</w:t>
      </w:r>
    </w:p>
    <w:p>
      <w:pPr>
        <w:pStyle w:val="Heading1"/>
        <w:spacing w:after="120" w:before="280"/>
      </w:pPr>
      <w:r>
        <w:t xml:space="preserve">BSE Corporate Actions / Other Red Flags</w:t>
      </w:r>
    </w:p>
    <w:p>
      <w:pPr>
        <w:spacing w:after="120"/>
      </w:pPr>
      <w:r>
        <w:t xml:space="preserve">Not checked. Note: 100% OFS IPO (no fresh capital raised by the company); promoter holding diluted 90.5% to 75.7% post-listing; pre-IPO CCPS round (Sept 2025) included WhiteOak, Motilal Oswal, Edelweiss, Spark at a Rs 3,800 Cr valuation.</w:t>
      </w:r>
    </w:p>
    <w:p>
      <w:pPr>
        <w:pStyle w:val="Heading1"/>
        <w:spacing w:after="120" w:before="280"/>
      </w:pPr>
      <w:r>
        <w:t xml:space="preserve">Bull Case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Genuine, hard-to-replicate niche monopoly (military parachute fabrics, DRDO/ADRDE tech-transfer partner, exclusive Indian licensee for Airborne Systems USA) with high customer switching costs (2-5yr qualification cycles)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Real recent-quarter margin inflection (27.1% to 31.0% EBITDA margin QoQ) plus a credible near-term catalyst (deferred Rs 237 Cr defense contract) and management guidance to triple revenue by FY30 without major further capex</w:t>
      </w:r>
    </w:p>
    <w:p>
      <w:pPr>
        <w:pStyle w:val="Heading1"/>
        <w:spacing w:after="120" w:before="280"/>
      </w:pPr>
      <w:r>
        <w:t xml:space="preserve">Bear Case / Key Risks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FY26 revenue decline and the FY30 guidance are management-asserted, not yet confirmed by more than one quarter of data -- classic unconfirmed-inflection risk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High defense-procurement dependency (~55% of FY26 revenue), customer concentration (top 10 = ~59.5% of sales), and Taiwan-concentrated raw material sourcing (~78% of imports) are real, disclosed risk factors; 100% OFS IPO means no fresh growth capital came in</w:t>
      </w:r>
    </w:p>
    <w:p>
      <w:pPr>
        <w:pStyle w:val="Heading1"/>
        <w:spacing w:after="120" w:before="280"/>
      </w:pPr>
      <w:r>
        <w:t xml:space="preserve">Market-Cap Tier (informational — not a gate in this project)</w:t>
      </w:r>
    </w:p>
    <w:p>
      <w:pPr>
        <w:spacing w:after="120"/>
      </w:pPr>
      <w:r>
        <w:rPr>
          <w:b/>
          <w:bCs/>
        </w:rPr>
        <w:t xml:space="preserve">Small/Mid-cap (~Rs 6,010 Cr)</w:t>
      </w:r>
    </w:p>
    <w:p>
      <w:pPr>
        <w:pStyle w:val="Heading1"/>
        <w:spacing w:after="120" w:before="280"/>
      </w:pPr>
      <w:r>
        <w:t xml:space="preserve">Thesis Fit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10x-in-2-3-years</w:t>
      </w:r>
    </w:p>
    <w:p>
      <w:pPr>
        <w:pStyle w:val="Heading1"/>
        <w:spacing w:after="120" w:before="280"/>
      </w:pPr>
      <w:r>
        <w:t xml:space="preserve">Verdict</w:t>
      </w:r>
    </w:p>
    <w:p>
      <w:pPr>
        <w:spacing w:after="120"/>
      </w:pPr>
      <w:r>
        <w:rPr>
          <w:b/>
          <w:bCs/>
          <w:sz w:val="24"/>
          <w:szCs w:val="24"/>
        </w:rPr>
        <w:t xml:space="preserve">Credible niche-monopoly inflection story, but conviction capped by single-quarter confirmation and IPO freshness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 the recent-quarter-over-trailing-average rule: a weak FY26 headline number is explained by a specific, credible temporary cause (order deferral + capacity build-out) and is already showing a real one-quarter margin inflection, so it clears the bar for a low/medium-conviction 10x case rather than being dismissed as simply weak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No trusted-roster user has yet posted written conviction on this name -- the only detailed case comes from a self-disclosed invested analyst, not the community's most-trusted voices -- so conviction stays capped at Low-Medium pending confirmation</w:t>
      </w:r>
    </w:p>
    <w:p>
      <w:pPr>
        <w:pBdr>
          <w:top w:val="single" w:color="CCCCCC" w:sz="6" w:space="8"/>
        </w:pBdr>
        <w:spacing w:before="300"/>
      </w:pPr>
      <w:r>
        <w:rPr>
          <w:i/>
          <w:iCs/>
          <w:color w:val="666666"/>
          <w:sz w:val="18"/>
          <w:szCs w:val="18"/>
        </w:rPr>
        <w:t xml:space="preserve">This is independent research and analysis for informational purposes only, not personalized financial or investment advice. Past multi-bagger performance and forum/social sentiment are not indicators of future returns. Do your own due diligence before investing.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2026-08-25T13:54:50.098Z</dcterms:created>
  <dcterms:modified xsi:type="dcterms:W3CDTF">2026-08-25T13:54:50.103Z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