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LT Foods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quality basmati/rice compounder expanding into branded foods, but now facing US tariff threats, a rejected European acquisition, and reduced disclosure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LT Foods (Daawat, Royal brands) is a leading basmati rice and branded-foods company expanding into ready-to-eat/ready-to-cook snacks (Kari Kari) and organic foods, with manufacturing/distribution facilities being added in Saudi Arabia, the US and UK.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14,887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15.5% currently (avg ~18% FY21-24)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15.99% (vs industry median 7.03%)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333.15 - 518.55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remains well above industry median (16% CAGR) with a reasonable balance sheet (D/E 0.27), and the company continues to diversify into higher-margin branded/value-added products (Kari Kari snacks, organic foods, Saudi/US/UK expansion). However, the FY26 acquisition of Global Green Europe Kft. (Hungary, EUR 25M) was rejected by the Hungarian government in Jan 2026, and management moved from quarterly to semi-annual concalls in mid-2025 -- a step back in disclosure that the community explicitly flagged.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218 posts (Jan 2025-Feb 2026, no escalation triggered). Sentiment arc: cautious optimism into early 2025 on FII/DII stake increases and margin-recovery hopes tied to declining raw-material/freight costs; a real bull case built around Saudi/UK facility ramp-up and Kari Kari snack expansion through mid-2025; then a run of headwinds from Jul 2025 onward -- Trump tariff threats on Indian rice 'dumping,' Punjab floods threatening Basmati paddy supply, a possible US visa-driven reduction in NRI demand, the Hungary acquisition rejection (Jan 2026), and the semi-annual-concall disclosure step-back. One member's DCF-style math (Oct 2025) argued the stock already prices in 25-27% growth against an intrinsic ~Rs 240/share supportable by 14-15%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cdas3317 (trusted, elevated-tier) was the most active balanced tracker across this window, flagging both the acquisition and tariff developments without taking a strong directional stance. No trusted user staked a high-conviction 'primary holding' call in this window.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High tax deduction on dividend (55% reported by one member) flagged as an open question, not resolved in-thread.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(16%) well above industry median, with real diversification into branded/value-added categories (Kari Kari, organic foods) beyond commodity basmati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balance sheet (D/E 0.27) funding Saudi, US and UK facility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buying continued through 2025 even after trading-restriction windows expired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tariff threat specifically targeting Indian rice as alleged 'dumping' is a real, live risk given ~46% of one recent quarter's revenue tied to US-linked channels per a community concall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Punjab floods threaten Basmati paddy supply/pricing in the near 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Hungary acquisition (Global Green Europe) was formally rejected by the Hungarian government (Jan 2026) -- a failed inorganic growth attempt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Switch from quarterly to semi-annual concalls is a real disclosure regression the community flagged directly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member's valuation math suggests the current price already prices in more growth (25-27%) than intrinsic support (14-15%) justifies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14,887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growing branded-foods compounder, but a live US tariff threat, a failed European acquisition, and reduced disclosure make this the wrong point to underwrite a multibagger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diversification are real, but market cap (Rs 14,887 Cr) is already sizable and the near-term setup carries multiple live, name-specific risks (US tariff, floods, failed acquisition) rather than a clean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 flag, but the concall-frequency reduction is a genuine governance/disclosure downgrade worth tracking before revisiting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per the standard rule: size plus a currently negative catalyst mix, despite decent underlying quality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2026-08-23T16:11:21.880Z</dcterms:created>
  <dcterms:modified xsi:type="dcterms:W3CDTF">2026-08-23T16:11:21.881Z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