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Leap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only national-scale asset-pooling (pallets/crates/MHE) company, freshly listed Aug-2026; monopoly-like position but low ROE and a leveraged, capital-heavy model cap the near-term multibagger math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Leap India operates a pay-per-use asset-pooling model — it owns and rents pallets, foldable large containers and material-handling equipment to FMCG/consumer and e-commerce clients (HUL, Marico, Coca-Cola, Mahindra, Amazon etc.), letting them convert capex into variable opex. ~90% of India's organised pallet-pooling fleet by size; runs a pan-India network from ~29 warehouses. Absorbed CHEP India's local operations. IPO (price band Rs 151–159, ~Rs 2,480 Cr issue) listed 14-Aug-2026; fresh-issue proceeds mainly for debt reduction.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2,500–3,000 Cr (freshly listed Aug-2026)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(FY25)</w:t>
            </w:r>
          </w:p>
        </w:tc>
        <w:tc>
          <w:tcPr>
            <w:tcW w:type="dxa" w:w="5800"/>
          </w:tcPr>
          <w:p>
            <w:r>
              <w:t xml:space="preserve">~Rs 730 Cr (+54%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 (FY25)</w:t>
            </w:r>
          </w:p>
        </w:tc>
        <w:tc>
          <w:tcPr>
            <w:tcW w:type="dxa" w:w="5800"/>
          </w:tcPr>
          <w:p>
            <w:r>
              <w:t xml:space="preserve">~Rs 62 Cr (+66%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(3-yr)</w:t>
            </w:r>
          </w:p>
        </w:tc>
        <w:tc>
          <w:tcPr>
            <w:tcW w:type="dxa" w:w="5800"/>
          </w:tcPr>
          <w:p>
            <w:r>
              <w:t xml:space="preserve">~6.3% (low — capital-intensive, leveraged)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Elevated; CHEP integration added depreciation + finance costs faster than revenue; IPO proceeds to deleverage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n/a — listed 14-Aug-2026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Topline and PAT are growing fast (+54%/+66%) and the pooling model is structurally proven globally (Brambles/CHEP). But the business owns its asset fleet, so it is capital-heavy: ROE is only ~6.3% and the balance sheet carried meaningful debt into the IPO. Post-issue deleveraging could lift returns, but there is no public-company track record yet, and pooling penetration in India, while early and secular, compounds over years rather than quarters.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— no meaningful listed history.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ValuePickr thread (topic 223431) has a single post — an IPO note by Shreyash_Jaiswal framing it as a 'movers monopoly' / asset-pooling pure-play. No discussion, no trusted-user engagement yet. Assessment is web/fundamentals-led.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have posted. No high-conviction calls.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checked. No red flags identified; IPO proceeds explicitly earmarked for borrowing reduction.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national-scale asset-pooling platform in India with ~90% organised fleet share — network-effect + switching-cost moat as it scales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Secular shift from client-owned to pooled logistics assets is early in India; long runway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revenue +54% / PAT +66%; CHEP India absorption consolidates the category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Post-IPO deleveraging should improve ROE from the depressed ~6.3% base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Capital-intensive (owns the fleet): 3-yr ROE only ~6.3% — fails a strict quality gate for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Carried significant debt into listing; finance + depreciation costs have outrun revenue during integration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public-company track record; first few results will set the credibility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a ~Rs 2,500–3,000 Cr listing cap, a literal 10x in 2–3 years would need PAT to ~10x — not supported by a low-ROE, asset-heavy model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2,500–3,000 Cr, newly listed)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category monopoly and secular runway, but low-ROE capital intensity and fresh-listing uncertainty keep it off the 10x-in-2-3-years path for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story is real (pooling penetration, ~90% share, global model proven) but the economics today — ~6.3% ROE, leveraged, capital-heavy — do not support a near-term multibagger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discussion and no listed track record; revisit once 2–3 public quarters show the post-IPO ROE trajectory and debt reduction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name never surfaced in the legacy 108-screen (it wasn't listed then); under the open-screen no-ceiling thesis it is 'neither' on capital-intensity grounds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2026-08-30T06:24:39.533Z</dcterms:created>
  <dcterms:modified xsi:type="dcterms:W3CDTF">2026-08-30T06:24:39.538Z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