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Lincoln Pharmaceuticals Ltd</w:t>
      </w:r>
    </w:p>
    <w:p>
      <w:pPr>
        <w:pBdr>
          <w:bottom w:val="single" w:color="CCCCCC" w:sz="6" w:space="8"/>
        </w:pBdr>
        <w:spacing w:after="200"/>
      </w:pPr>
      <w:r>
        <w:rPr>
          <w:i/>
          <w:iCs/>
          <w:color w:val="666666"/>
          <w:sz w:val="22"/>
          <w:szCs w:val="22"/>
        </w:rPr>
        <w:t xml:space="preserve">Debt-free small-cap pharma with steady growth, but repeated, credible community concerns about profit-quality and related-party lending</w:t>
      </w:r>
    </w:p>
    <w:p>
      <w:pPr>
        <w:shd w:fill="FFF0F0" w:val="clear"/>
        <w:spacing w:after="200"/>
      </w:pPr>
      <w:r>
        <w:rPr>
          <w:b/>
          <w:bCs/>
          <w:color w:val="B8860B"/>
          <w:sz w:val="22"/>
          <w:szCs w:val="22"/>
        </w:rPr>
        <w:t xml:space="preserve">RED FLAG TIER: HIGH CAUTION — </w:t>
      </w:r>
      <w:r>
        <w:rPr>
          <w:sz w:val="20"/>
          <w:szCs w:val="20"/>
        </w:rPr>
        <w:t xml:space="preserve">Repeated, credible community allegations of profit-quality issues (a cited 'history of inflating profits') and rapidly growing related-party/unsecured lending to unrelated parties, serious enough that a trusted community user explicitly declined to invest over it.</w:t>
      </w:r>
    </w:p>
    <w:p>
      <w:pPr>
        <w:pStyle w:val="Heading1"/>
        <w:spacing w:after="120" w:before="280"/>
      </w:pPr>
      <w:r>
        <w:t xml:space="preserve">Business Overview</w:t>
      </w:r>
    </w:p>
    <w:p>
      <w:pPr>
        <w:spacing w:after="120"/>
      </w:pPr>
      <w:r>
        <w:t xml:space="preserve">Lincoln Pharmaceuticals is a branded-generics pharma manufacturer targeting a management-guided Rs 750 Cr revenue milestone, expanding into overseas branded-generic markets and running a Cephalosporin plant expansion.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1,205 Cr</w:t>
            </w:r>
          </w:p>
        </w:tc>
      </w:tr>
      <w:tr>
        <w:tc>
          <w:tcPr>
            <w:tcW w:type="dxa" w:w="3200"/>
            <w:shd w:fill="F2F2F2" w:val="clear"/>
          </w:tcPr>
          <w:p>
            <w:r>
              <w:rPr>
                <w:b/>
                <w:bCs/>
              </w:rPr>
              <w:t xml:space="preserve">ROCE / ROE</w:t>
            </w:r>
          </w:p>
        </w:tc>
        <w:tc>
          <w:tcPr>
            <w:tcW w:type="dxa" w:w="5800"/>
          </w:tcPr>
          <w:p>
            <w:r>
              <w:t xml:space="preserve">16.08% / 13.8%</w:t>
            </w:r>
          </w:p>
        </w:tc>
      </w:tr>
      <w:tr>
        <w:tc>
          <w:tcPr>
            <w:tcW w:type="dxa" w:w="3200"/>
            <w:shd w:fill="F2F2F2" w:val="clear"/>
          </w:tcPr>
          <w:p>
            <w:r>
              <w:rPr>
                <w:b/>
                <w:bCs/>
              </w:rPr>
              <w:t xml:space="preserve">Revenue</w:t>
            </w:r>
          </w:p>
        </w:tc>
        <w:tc>
          <w:tcPr>
            <w:tcW w:type="dxa" w:w="5800"/>
          </w:tcPr>
          <w:p>
            <w:r>
              <w:t xml:space="preserve">Rs 671 Cr</w:t>
            </w:r>
          </w:p>
        </w:tc>
      </w:tr>
      <w:tr>
        <w:tc>
          <w:tcPr>
            <w:tcW w:type="dxa" w:w="3200"/>
            <w:shd w:fill="F2F2F2" w:val="clear"/>
          </w:tcPr>
          <w:p>
            <w:r>
              <w:rPr>
                <w:b/>
                <w:bCs/>
              </w:rPr>
              <w:t xml:space="preserve">Revenue growth</w:t>
            </w:r>
          </w:p>
        </w:tc>
        <w:tc>
          <w:tcPr>
            <w:tcW w:type="dxa" w:w="5800"/>
          </w:tcPr>
          <w:p>
            <w:r>
              <w:t xml:space="preserve">9.61% (5yr, 'poor' per screener characterization)</w:t>
            </w:r>
          </w:p>
        </w:tc>
      </w:tr>
      <w:tr>
        <w:tc>
          <w:tcPr>
            <w:tcW w:type="dxa" w:w="3200"/>
            <w:shd w:fill="F2F2F2" w:val="clear"/>
          </w:tcPr>
          <w:p>
            <w:r>
              <w:rPr>
                <w:b/>
                <w:bCs/>
              </w:rPr>
              <w:t xml:space="preserve">52-week range</w:t>
            </w:r>
          </w:p>
        </w:tc>
        <w:tc>
          <w:tcPr>
            <w:tcW w:type="dxa" w:w="5800"/>
          </w:tcPr>
          <w:p>
            <w:r>
              <w:t xml:space="preserve">Rs 440 - 770</w:t>
            </w:r>
          </w:p>
        </w:tc>
      </w:tr>
    </w:tbl>
    <w:p>
      <w:pPr>
        <w:spacing w:after="100"/>
      </w:pPr>
    </w:p>
    <w:p>
      <w:pPr>
        <w:spacing w:after="120"/>
      </w:pPr>
      <w:r>
        <w:t xml:space="preserve">Debt-free, moderate ROCE, but growth has been sub-10% for years despite a long-standing Rs 750 Cr management target, and a meaningful share of net-profit growth in some periods has come from other income (investment gains) rather than core operations.</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260 posts (single batch, spanning Feb 2024-Mar 2026, no escalation needed). Sentiment is mixed-to-cautious: solid operational posts (first-ever concall in 2024, promoter open-market buying) sit alongside a serious, repeated profit-quality thread -- a Oct 2024 post (12 loves) explicitly cites 'a history of inflating its profits' referencing a 2012 bad-debt-provisioning issue, and core-vs-net profit growth divergence (11% core vs 22% net) attributed to investment gains. From Apr 2025 through Sep 2025, multiple posts (including trusted user vikasbargale) flag related-party/unsecured loans to unrelated parties growing 3-4x, with vikasbargale explicitly calling these 'dicy governance issues' and stating he is not invested for that reason.</w:t>
      </w:r>
    </w:p>
    <w:p>
      <w:pPr>
        <w:spacing w:after="120"/>
      </w:pPr>
      <w:r>
        <w:rPr>
          <w:b/>
          <w:bCs/>
          <w:sz w:val="20"/>
          <w:szCs w:val="20"/>
        </w:rPr>
        <w:t xml:space="preserve">High-conviction call from a top contributor: </w:t>
      </w:r>
      <w:r>
        <w:rPr>
          <w:sz w:val="20"/>
          <w:szCs w:val="20"/>
        </w:rPr>
        <w:t xml:space="preserve">vikasbargale (trusted, elevated) explicitly declined to invest citing governance concerns: 'Why to waste time over such dicy governance issues. Better to look at other opportunities... Not invested.' harsh.beria93 (trusted) posted bullish concall notes in Jun 2024 (15 loves) but has not weighed in since on the governance concerns raised later in 2025.</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2024-06-30 — harsh.beria93</w:t>
      </w:r>
      <w:r>
        <w:rPr>
          <w:i/>
          <w:iCs/>
          <w:color w:val="666666"/>
          <w:sz w:val="18"/>
          <w:szCs w:val="18"/>
        </w:rPr>
        <w:t xml:space="preserve"> (Lincoln Pharma)</w:t>
      </w:r>
      <w:r>
        <w:rPr>
          <w:sz w:val="20"/>
          <w:szCs w:val="20"/>
        </w:rPr>
        <w:br/>
        <w:t xml:space="preserve">: Bullish concall notes expecting faster growth going forward with margin improvement (predates the later governance concerns).</w:t>
      </w:r>
    </w:p>
    <w:p>
      <w:pPr>
        <w:spacing w:after="100"/>
      </w:pPr>
      <w:r>
        <w:rPr>
          <w:b/>
          <w:bCs/>
          <w:sz w:val="20"/>
          <w:szCs w:val="20"/>
        </w:rPr>
        <w:t xml:space="preserve">2025-07-16 — vikasbargale</w:t>
      </w:r>
      <w:r>
        <w:rPr>
          <w:i/>
          <w:iCs/>
          <w:color w:val="666666"/>
          <w:sz w:val="18"/>
          <w:szCs w:val="18"/>
        </w:rPr>
        <w:t xml:space="preserve"> (Lincoln Pharma)</w:t>
      </w:r>
      <w:r>
        <w:rPr>
          <w:sz w:val="20"/>
          <w:szCs w:val="20"/>
        </w:rPr>
        <w:br/>
        <w:t xml:space="preserve">: Explicitly avoided the stock over related-party-loan governance concerns: 'dicy governance issues... Not invested.'</w:t>
      </w:r>
    </w:p>
    <w:p>
      <w:pPr>
        <w:pStyle w:val="Heading1"/>
        <w:spacing w:after="120" w:before="280"/>
      </w:pPr>
      <w:r>
        <w:t xml:space="preserve">BSE Corporate Actions / Other Red Flags</w:t>
      </w:r>
    </w:p>
    <w:p>
      <w:pPr>
        <w:spacing w:after="120"/>
      </w:pPr>
      <w:r>
        <w:t xml:space="preserve">Not independently checked. Community-reported: rising related-party/unsecured-loan balances to unrelated parties (2024-2025), and a private-lending side business acknowledged by management via investor-relations query but not resolved as a concern by posters.</w:t>
      </w:r>
    </w:p>
    <w:p>
      <w:pPr>
        <w:pStyle w:val="Heading1"/>
        <w:spacing w:after="120" w:before="280"/>
      </w:pPr>
      <w:r>
        <w:t xml:space="preserve">Bull Case</w:t>
      </w:r>
    </w:p>
    <w:p>
      <w:pPr>
        <w:pStyle w:val="ListParagraph"/>
        <w:numPr>
          <w:ilvl w:val="0"/>
          <w:numId w:val="1"/>
        </w:numPr>
        <w:spacing w:after="60"/>
      </w:pPr>
      <w:r>
        <w:t xml:space="preserve">Debt-free balance sheet</w:t>
      </w:r>
    </w:p>
    <w:p>
      <w:pPr>
        <w:pStyle w:val="ListParagraph"/>
        <w:numPr>
          <w:ilvl w:val="0"/>
          <w:numId w:val="1"/>
        </w:numPr>
        <w:spacing w:after="60"/>
      </w:pPr>
      <w:r>
        <w:t xml:space="preserve">Management guides continued growth toward a Rs 750 Cr revenue target</w:t>
      </w:r>
    </w:p>
    <w:p>
      <w:pPr>
        <w:pStyle w:val="ListParagraph"/>
        <w:numPr>
          <w:ilvl w:val="0"/>
          <w:numId w:val="1"/>
        </w:numPr>
        <w:spacing w:after="60"/>
      </w:pPr>
      <w:r>
        <w:t xml:space="preserve">First-ever investor concall (2024) and rising promoter open-market buying signal improving disclosure/alignment</w:t>
      </w:r>
    </w:p>
    <w:p>
      <w:pPr>
        <w:pStyle w:val="Heading1"/>
        <w:spacing w:after="120" w:before="280"/>
      </w:pPr>
      <w:r>
        <w:t xml:space="preserve">Bear Case / Key Risks</w:t>
      </w:r>
    </w:p>
    <w:p>
      <w:pPr>
        <w:pStyle w:val="ListParagraph"/>
        <w:numPr>
          <w:ilvl w:val="0"/>
          <w:numId w:val="1"/>
        </w:numPr>
        <w:spacing w:after="60"/>
      </w:pPr>
      <w:r>
        <w:t xml:space="preserve">Repeated, credible community allegation of a 'history of inflating profits' (12 loves), including a cited 2012 bad-debt-provisioning precedent</w:t>
      </w:r>
    </w:p>
    <w:p>
      <w:pPr>
        <w:pStyle w:val="ListParagraph"/>
        <w:numPr>
          <w:ilvl w:val="0"/>
          <w:numId w:val="1"/>
        </w:numPr>
        <w:spacing w:after="60"/>
      </w:pPr>
      <w:r>
        <w:t xml:space="preserve">Trade receivables growing faster than sales for several years -- a profit-quality flag raised independently by multiple posters</w:t>
      </w:r>
    </w:p>
    <w:p>
      <w:pPr>
        <w:pStyle w:val="ListParagraph"/>
        <w:numPr>
          <w:ilvl w:val="0"/>
          <w:numId w:val="1"/>
        </w:numPr>
        <w:spacing w:after="60"/>
      </w:pPr>
      <w:r>
        <w:t xml:space="preserve">A trusted user (vikasbargale) explicitly avoided the stock over related-party/unsecured-loan growth (3-4x) to unrelated parties, calling it 'dicy governance'</w:t>
      </w:r>
    </w:p>
    <w:p>
      <w:pPr>
        <w:pStyle w:val="ListParagraph"/>
        <w:numPr>
          <w:ilvl w:val="0"/>
          <w:numId w:val="1"/>
        </w:numPr>
        <w:spacing w:after="60"/>
      </w:pPr>
      <w:r>
        <w:t xml:space="preserve">Growth has been sub-10% for years despite a long-standing Rs 750 Cr guidance target management has repeatedly not hit</w:t>
      </w:r>
    </w:p>
    <w:p>
      <w:pPr>
        <w:pStyle w:val="Heading1"/>
        <w:spacing w:after="120" w:before="280"/>
      </w:pPr>
      <w:r>
        <w:t xml:space="preserve">Market-Cap Tier (informational — not a gate in this project)</w:t>
      </w:r>
    </w:p>
    <w:p>
      <w:pPr>
        <w:spacing w:after="120"/>
      </w:pPr>
      <w:r>
        <w:rPr>
          <w:b/>
          <w:bCs/>
        </w:rPr>
        <w:t xml:space="preserve">Small-cap (~Rs 1,205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Governance overhang from a trusted user's own pass is disqualifying at this conviction bar</w:t>
      </w:r>
    </w:p>
    <w:p>
      <w:pPr>
        <w:pStyle w:val="ListParagraph"/>
        <w:numPr>
          <w:ilvl w:val="0"/>
          <w:numId w:val="1"/>
        </w:numPr>
        <w:spacing w:after="60"/>
      </w:pPr>
      <w:r>
        <w:t xml:space="preserve">The profit-inflation allegation and repeated related-party-loan growth are not one-off noise -- they recur across 2024-2025 and a trusted user (vikasbargale) explicitly walked away from the stock over them</w:t>
      </w:r>
    </w:p>
    <w:p>
      <w:pPr>
        <w:pStyle w:val="ListParagraph"/>
        <w:numPr>
          <w:ilvl w:val="0"/>
          <w:numId w:val="1"/>
        </w:numPr>
        <w:spacing w:after="60"/>
      </w:pPr>
      <w:r>
        <w:t xml:space="preserve">Underlying growth (sub-10% for years against a persistently-missed Rs 750 Cr target) does not clear the bar on its own even setting governance aside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2026-08-23T15:14:47.954Z</dcterms:created>
  <dcterms:modified xsi:type="dcterms:W3CDTF">2026-08-23T15:14:47.955Z</dcterms:modified>
</cp:coreProperties>
</file>

<file path=docProps/custom.xml><?xml version="1.0" encoding="utf-8"?>
<Properties xmlns="http://schemas.openxmlformats.org/officeDocument/2006/custom-properties" xmlns:vt="http://schemas.openxmlformats.org/officeDocument/2006/docPropsVTypes"/>
</file>