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MOIL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manganese producer with a sharp, real Q1FY27 profit inflection and a global supply squeeze tailwind, still small enough for a genuine multibagger case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MOIL is India's largest manganese ore producer (~50% domestic market share, 11 operational mines across Maharashtra and Madhya Pradesh), a debt-free PSU serving the steel/ferro-alloy industry, with a Ferro Manganese plant adding downstream value.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5,145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12.3% trailing 3-yr (forecast 17.4% in 3 years)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quarter</w:t>
            </w:r>
          </w:p>
        </w:tc>
        <w:tc>
          <w:tcPr>
            <w:tcW w:type="dxa" w:w="5800"/>
          </w:tcPr>
          <w:p>
            <w:r>
              <w:t xml:space="preserve">Q1 FY27: PAT +70% YoY to Rs 87.62 Cr; revenue +7%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5-yr revenue growth</w:t>
            </w:r>
          </w:p>
        </w:tc>
        <w:tc>
          <w:tcPr>
            <w:tcW w:type="dxa" w:w="5800"/>
          </w:tcPr>
          <w:p>
            <w:r>
              <w:t xml:space="preserve">Weak, 4.67% (FY25 was 9.4%, above the 5-yr CAGR of 8.8%)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242.7 - 405.5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is exactly the case this project's own rule flags: a weak trailing 3-5yr average (ROE 12.3%, 5-yr revenue growth just 4.67%) sits alongside a sharp, real recent-quarter inflection -- Q1FY27 PAT up 70% YoY on only 7% revenue growth, implying a genuine margin expansion, likely tied to the global manganese price squeeze the community flagged (South32's Gemco mine suspended by a cyclone through Q1-Q3 FY25, removing meaningful global supply and driving a 30-35% price hike that MOIL itself passed through, per a Jun 2024 community post).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28-post thread (2010-2025) -- a long-running but currently thin/stale thread (only one post since mid-2024, from ranvir in Dec 2025). Historical debate has repeatedly centered on whether MOIL is a 'value trap' commodity play (large cash balance relative to market cap flagged as far back as 2019) versus a genuine long-term beneficiary of steel/EV-driven manganese demand growth -- unresolved either way in-thread, and the community has not yet caught up with the Q1FY27 inflection at all.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(elevated, the sourcing trusted user) posted detailed annual-report notes (Dec 2025) describing MOIL's ~50% domestic market share and multi-mine infrastructure, in a tracking/informational tone rather than a high-conviction call. No community discussion yet exists of the Q1FY27 profit inflection -- this is an unconfirmed, ahead-of-the-community read based on fundamentals alone.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 Historically debt-free with a large cash balance relative to market cap (flagged as a value characteristic since 2019).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India's largest manganese producer (~50% share) with a debt-free balance sheet and a large cash cushion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real, quantified Q1FY27 profit inflection (PAT +70% YoY) on modest revenue growth, suggesting genuine margin expansion rather than one-off noise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 global supply catalyst (South32's Gemco disruption) has already driven realized price increases MOIL passed through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Small-cap size (Rs 5,145 Cr) leaves real room for a multibagger outcome if the inflection sustains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Q1FY27 inflection is unconfirmed by the community -- this thread has not caught up with it at all, so there is no independent validation yet, only screener-level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5-year revenue growth (4.67%) has been genuinely weak, and manganese is a classic cyclical commodity where price-driven margin spikes can reverse as fast as they appeared (as seen with silver at Hindustan Zinc this same batch)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community has debated a 'value trap' framing for this stock since at least 2019 without resolution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5,145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quantified recent-quarter profit inflection at a debt-free small-cap manganese leader, but still unconfirmed by the community and commodity-cyclical by nature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a textbook case for the project's own inflection rule: weak trailing averages should not hide a real, specific recent-quarter improvement (Q1FY27 PAT +70%) backed by a credible catalyst (global manganese supply squeeze)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debt-free PSU with a large cash cushion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kept Low given the inflection is genuinely unconfirmed -- no community discussion of it exists yet, and manganese/steel-linked commodity earnings can reverse quickly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2026-08-23T16:11:22.880Z</dcterms:created>
  <dcterms:modified xsi:type="dcterms:W3CDTF">2026-08-23T16:11:22.881Z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