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Mahanagar Gas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GAIL-controlled Mumbai city-gas monopoly with ~7-9% volume growth and a cheap, near-52w-low valuation — but permanent APM cheap-gas allocation cuts have driven net margin from ~21% to ~10% and FY26 PAT fell YoY; a large-cap-style mature utility, not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City gas distribution (CGD) monopoly in Mumbai, Thane and Raigad (exclusive infrastructure rights in its core areas), plus newer geographies via Unison Enviro and a 50% stake in MNGL (Pune). Sells CNG (transport), domestic PNG and industrial/commercial gas. Profit per unit depends on the sourcing mix (cheap administered 'APM' gas vs costly term/spot RLNG) and on regulated/competitive pricing.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10,600 Cr; 52w ~Rs 900 - 1,587; CP ~Rs 1,126 (near the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~10-11x; P/B ~1.7x; dividend yield ~2.8%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Volume growth</w:t>
            </w:r>
          </w:p>
        </w:tc>
        <w:tc>
          <w:tcPr>
            <w:tcW w:type="dxa" w:w="5800"/>
          </w:tcPr>
          <w:p>
            <w:r>
              <w:t xml:space="preserve">~7% YoY (Q1 FY27 4.77 mmscmd, +7%); CNG +9.7%, D-PNG +9.1%; I&amp;C -7% on mandated curtailments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Net margin FY24 ~20.6% -&gt; FY25 ~14.3% -&gt; FY26 ~10.3%; EBITDA/scm ~Rs 10.2 (FY24) -&gt; ~Rs 7.9 (Q1 FY27, below the Rs 8-9 guide)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</w:t>
            </w:r>
          </w:p>
        </w:tc>
        <w:tc>
          <w:tcPr>
            <w:tcW w:type="dxa" w:w="5800"/>
          </w:tcPr>
          <w:p>
            <w:r>
              <w:t xml:space="preserve">~Rs 847 Cr, DOWN from ~Rs 1,041 Cr FY25 despite sales +13.5%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Sourcing</w:t>
            </w:r>
          </w:p>
        </w:tc>
        <w:tc>
          <w:tcPr>
            <w:tcW w:type="dxa" w:w="5800"/>
          </w:tcPr>
          <w:p>
            <w:r>
              <w:t xml:space="preserve">APM allocation repeatedly cut (guided toward ~zero over ~2 years); pooled/NWG gas (~21-22% of mix) discontinued from Jul 2026; spot LNG spiked to ~USD 20/MMBtu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Almost debt-free; large interest-free customer security-deposit 'float'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Volumes are still compounding at ~7-9% (CNG vehicle adoption, PNG household additions), and the stock is genuinely cheap — ~10x earnings, ~1.7x book, near a 52-week low, with an insurance-like interest-free deposit float. But the core economics are deteriorating structurally: the government has repeatedly cut MGL's allocation of cheap administered (APM) gas and signalled it will fall toward zero, forcing a shift to expensive term/spot RLNG; net margin has fallen from ~21% (FY24) to ~10% (FY26) and FY26 PAT declined YoY despite double-digit sales growth. Management called Q2 FY27 'slightly worse' than Q1 and declined firm margin guidance. There is also an EV overhang on CNG demand, expiring area-exclusivity, and Hormuz/geopolitical risk on ~a third of supply. An Aug-2026 APM-relief scheme (extra low-cost gas per incremental domestic PNG connection) modestly helps and names MGL as the biggest CGD beneficiary.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city gas distribution (CGD)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infrastructure-monopoly CGD in Mumbai/Thane/Raigad; CNG + domestic &amp; I&amp;C PNG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allocation of cheap administered (APM) gas — controlled by the government, being cut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Indraprastha Gas (IGL), Gujarat Gas, Adani Total Gas, GAIL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All CGDs face the same APM-cut squeeze (20-40% of sourcing on RLNG); MGL's edge is a low-per-connection consumption profile (more surplus cheap APM gas per the Aug-2026 scheme) and a cheap valuation, not pricing power — regulated/competitive pricing plus EV substitution cap 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Actively tracked; the recurring question (hardik_shah1 and others) is how to value a business whose margin is repeatedly reset by government policy. Detailed analysis by Vishagan_Ramasamy (Feb and Sep 2026) lays out the volume-on-track / margin-worse-than-feared picture. Some posters accumulate on the 'CGD is the future, buy the dip' view; several treat the APM uncertainty as a reason to demand a large margin of safety.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high-conviction trusted 'buy' call; posts are analytical rather than calls. One non-trusted user disclosed a ~5% position on the dip. Discovery candidate, theme-rank 2 (no live-theme keyword match — 'gas' is not a standalone theme keyword).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still compounding ~7-9%; infrastructure monopoly in core Mumbai/Thane/Raigad GAs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Cheap: ~10x earnings, ~1.7x book, ~2.8% yield, near 52w low; almost debt-free with a large float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 APM-relief scheme helps MGL most among CGDs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Permanent APM cheap-gas allocation cuts: net margin ~21% -&gt; ~10%, FY26 PAT down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declined margin guidance; Q2 FY27 guided 'slightly worse'; EBITDA/scm below target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overhang on CNG demand; core-area exclusivity expiring; Hormuz supply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Mature ~Rs 10,600 Cr utility with a 3-GA core — no 10x/100x maths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10,600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yes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no (volume growth offset by permanent APM cuts + EV overhang; FY26 PAT down YoY); tam no (mature 3-GA Mumbai monopoly, limited new-GA runway); moat weak (core-area exclusivity expiring, competition being enabled; deposit float a partial offset); valuation yes (~10x earnings, ~1.7x book, near 52w low). Score 1.5 -&gt;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cash-rich Mumbai city-gas monopoly with real volume growth but structurally compressing margins and declining profits — 'neither',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 candidate, theme-rank 2 (no live-theme keyword match — recency discovery).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no — volume growth is real but offset by permanent APM allocation cuts, EV overhang, and FY26 PAT falling YoY; tam no — mature ~Rs 10,600 Cr 3-GA Mumbai monopoly with limited new-GA runway vs IGL; moat weak — infrastructure monopoly in core GAs but exclusivity expiring and government actively enabling competition, partly offset by the deposit float; valuation yes — ~10x earnings, ~1.7x book, near 52w low). Score &lt;= 1.5 -&gt; thesis_fit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named-inflection exception NOT invoked: the Aug-2026 APM-relief scheme is a modest, partial policy offset, not a structural management/industry inflection.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Conviction Low-Medium: a cheap, defensive, debt-free utility with a float advantage, but earnings are structurally pressured by policy and there is no growth thesis for outsized returns.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2026-09-04T03:01:06.555Z</dcterms:created>
  <dcterms:modified xsi:type="dcterms:W3CDTF">2026-09-04T03:01:06.556Z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