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Maharashtra Seamless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Cyclical seamless-pipe leader with a genuine Q1 FY27 order-book acceleration and heavy promoter buying — but a live board-approved demerger tied to a family dispute is a real, unresolved special situation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Maharashtra Seamless (MSL) is India's leading seamless-pipe manufacturer, serving oil &amp; gas (ONGC, Oil India) and infrastructure end-markets, competing against Chinese imports and forward-integrated steel majors (JSW, Tata).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8,173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10.6%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15.01% CAGR vs industry median 8.54%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500 - 690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~11.0, Book Value Rs 513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Decent, above-industry revenue growth with a debt-free balance sheet, but the company also sits on a large (Rs 2,900+ Cr) cash pile with vaguely-explained deployment plans and under-executed capex — a real capital-allocation question flagged directly by the community.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62 posts (2018-2026, single batch — the thread's most recent post is from just last week, 2026-08-23, so no further escalation was needed to reach current sentiment). This is an active, currently-eventful thread: sustained promoter buying through 2025, a June 2026 board-approved demerger tied to a reported family dispute, and a fresh, concrete Q1 FY27 order-book update just six days before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trusted users (Nikunj_Todi, ripzc09) tracked sustained promoter open-market buying through Feb-Nov 2025, and ripzc09 separately noted (April 2025) both FII and DII simultaneously increased their stakes — a genuinely rare combination the poster called out explicitly. The most significant recent development: in June 2026, the board approved a strategic demerger of manufacturing units, which a non-trusted but engaged poster (mak2569) linked to a 'long dispute between brothers,' bluntly warning 'minority shareholders are never a priority' in this kind of promoter-family restructuring. Most recently (Aug 18, 2026, 6 days before this pass), a non-trusted poster (Soham_Kunkulol) shared Q1 FY27 concall details showing the order book up 31% QoQ to Rs 1,709 Cr, with a genuine, management-flagged first-time shift toward higher-margin mix (42% from ONGC/Oil India, 20% export to US/Canada). Separately, Nishant_Ramakrishnan (Aug 2025) raised a capital-allocation concern: only ~Rs 150 Cr of a previously announced Rs 852 Cr capex plan had been executed, while the company maintains Rs 2,900+ Cr in cash for 'vague and long-term' stated reasons.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2025-04-13 — ripzc09</w:t>
      </w:r>
      <w:r>
        <w:rPr>
          <w:i/>
          <w:iCs/>
          <w:color w:val="666666"/>
          <w:sz w:val="18"/>
          <w:szCs w:val="18"/>
        </w:rPr>
        <w:t xml:space="preserve"> (Maharashtra Seamless - own VP thread)</w:t>
      </w:r>
      <w:r>
        <w:rPr>
          <w:sz w:val="20"/>
          <w:szCs w:val="20"/>
        </w:rPr>
        <w:br/>
        <w:t xml:space="preserve">: Noted March 2025 shareholding data showed both FII and DII simultaneously increasing their stakes — called out as unusually rare across the broader market.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June 2026: Board approved a strategic demerger of manufacturing units, reported by community members to be connected to a family/promoter dispute. Historical (2019) community concern about a foreign-investment impairment seen by some as short-changing minority shareholders — old, not confirmed as recurring.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Above-industry revenue growth (15% CAGR vs 8.5% industry median), debt-free balance sheet, reasonable valuation (~11x P/E)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Sustained, multi-quarter promoter open-market buying through 2025, with a rare simultaneous FII+DII stake increase noted by a trusted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genuine, dated (Aug 2026) Q1 FY27 order-book acceleration: +31% QoQ to Rs 1,709 Cr, with management flagging a first-time shift to higher-margin ONGC/Oil India and export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large government infrastructure/E&amp;P budget allocation (Rs 57,612 Cr for Exploration &amp; Production in Budget 2026) is a genuine sector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June 2026 board-approved demerger, reportedly tied to a family/promoter dispute, is a live, unresolved special situation — a community member bluntly warned minority shareholders 'are never a priority' in this kind of restructuring, and the outcome (value-unlocking vs. value-destructive) is genuinely uncertain as of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Capital-allocation concern: a large Rs 2,900+ Cr cash pile sits largely undeployed against a previously announced Rs 852 Cr capex plan, only ~18% executed, with management citing only vague long-term reasons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business faces real structural competition from forward-integrated steel majors (JSW, Tata) and Chinese dumping, with anti-dumping duty protection due to lapse around 2026 per an earlier community discussion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CFO changes in under 3 years was flagged by a community member (2024) as unusual, without a clear resolution in the thread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8,173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near-term order-book inflection and heavy promoter buying, clouded by a live, unresolved family-dispute demerger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 FY27 order-book acceleration (+31% QoQ, higher-margin mix) and sustained promoter/institutional buying are real, current positive signals, not stale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June 2026 board-approved demerger tied to a reported family dispute is a genuine, live special situation whose minority-shareholder impact is explicitly uncertain per the community's own skeptical read — this is a real reason for caution, not a settled positive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a ~Rs 8,173 Cr mid-cap size with a cyclical, import-competition-exposed business, this doesn't clear the bar for a 10x-in-2-3-years call today, but is worth a focused revisit once the demerger structure and terms are clarified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2026-08-24T12:50:09.643Z</dcterms:created>
  <dcterms:modified xsi:type="dcterms:W3CDTF">2026-08-24T12:50:09.644Z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