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Matrimony.com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Hated, cheap (EV ex-cash ~Rs 500 Cr) category leader with ~100% of industry profits, easing competition, a buying promoter and operating leverage finally kicking in - a genuine but still-unconfirmed re-rating setup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Matrimony.com runs India's largest online matchmaking franchise (BharatMatrimony and community-specific portals), estimated at ~50% of industry revenue and close to (or above) 100% of industry profits. It also incubates allied businesses - Luv.com (alternate matchmaking), Mandap.com and wedding services, and ManyJobs (an early-stage jobs platform) - most of which are small and loss-making. The core matchmaking platform has grown paid subscribers and billings at high-single-digit rates over a decade; recent growth has been ATV-led (Elite Matrimony, personalised services) with a shift toward annual (from quarterly) subscription packages.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1,067 Cr (small-cap); EV ex-cash ~Rs 500 Cr per the thread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~17.4% / ~15.2%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sales CAGR ~4% (poor); Q1 recent: billings +7-8% YoY, revenue +13% YoY, PAT +127%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OPM fell from ~20% to ~10% over years on elevated ad spend; FY26 PAT down ~25% then Q1/Q2 FY27 inflecting up; run-rate PAT ~Rs 80 Cr+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returns</w:t>
            </w:r>
          </w:p>
        </w:tc>
        <w:tc>
          <w:tcPr>
            <w:tcW w:type="dxa" w:w="5800"/>
          </w:tcPr>
          <w:p>
            <w:r>
              <w:t xml:space="preserve">3rd buyback in 4 years; promoter NOT tendering (stake rising) + open-market buys (~2.89 lakh shares Sep-Nov 2025; ~3.5% added in a quarter, &gt;Rs 30 Cr); net cash &gt;Rs 300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363 - 574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a trailing 5-year view this looks like a no-growth business (sales CAGR ~4%, OPM halved). The recent-quarter picture is different: billings and revenue are growing again, marketing intensity from the main competitor (Info Edge's Jeevansathi) is easing, and with a largely fixed cost base the operating leverage is showing up as PAT more than doubling YoY. The company is net cash (&gt;Rs 300 Cr), buying back stock for a third time in four years, and the promoter is adding shares in the open market - so per-share economics compound even without much topline. Offsetting risk: paid-subscriber counts are structurally flat-to-down (successful marriages churn users out), and management has started allocating capital to startup investing.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ranged ~Rs 363-574 over 52 weeks; multiple thread posts describe it as 'written off' / 'left for dead' by the market, with billings growth and Q2 FY27 results as the catalysts for a potential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72 posts, Feb 2024 to Aug 2026. The thread has crystallised into a well-argued 'why now' bull case over 2026: (1) valuation - minus cash the business trades at an EV of ~Rs 500 Cr on ~Rs 35 Cr+ industry-wide net profit that Matrimony largely owns; (2) capital returns - three buybacks in four years plus a non-tendering, open-market-buying promoter imply a mid-teens buyback+dividend yield; (3) competition easing - Info Edge under investor pressure to stop funding Jeevansathi's losses; (4) operating leverage - the FY26 shift to ~10% annual subscriptions understated subscriber optics but added deferred revenue, and Q1/Q2 FY27 show 'high operating leverage kicked in' with PAT more than doubling and guidance for full-year PAT of ~Rs 80 Cr+ (a record); (5) management pushing growth via new business heads for assisted matrimony, ManyJobs, Mandap and wedding services, plus a Havas Media partnership for AI-driven regional marketing. The persistent bear case, made by thoughtful posters: paid profiles do not sustainably grow because the product 'works' and users leave; ATV-led growth eventually saturates; ad spend has not come down much in absolute terms; and a new startup-investing allocation is an unquantified capital-allocation risk. Manivannan (10 loves) presented a formal 'owner-operated, structurally advantaged platform' thesis at an investing summit.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roster/trusted users. The thread's most-loved recent posts (rishikeshs 8 on the cash-return math, Manivannan 10 on the summit thesis, chiragp and rishikeshs 4-5 each) are a coherent, well-reasoned bull case built by long-term followers. The counter-view (StonePitbull, Dhiren_Barvadiya, BudFox) is equally engaged and specifically about paid-subscriber stagnation - not a governance or accounting concern.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Three buybacks in four years; the promoter has consistently NOT tendered, raising his stake, and additionally bought ~2.89 lakh shares (~1.3% of equity) in the open market Sep-Nov 2025 and ~3.5% more in a subsequent quarter (&gt;Rs 30 Cr). Nalanda and MIT (institutional holders) reduced via buyback tenders. New board appointment to support a startup-investing initiative (2025) - flagged in-thread as a capital-allocation watch item. Net cash &gt;Rs 300 Cr.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category leader (~50% of revenue, ~100% of industry profits) trading at an EV ex-cash of only ~Rs 500 Cr - a 'melting ice cube' price for a franchise that keeps making money through hyper-competition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intensity easing as Info Edge faces pressure to stop funding Jeevansathi's losses - the swing factor for marketing spend and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operating leverage on a largely fixed cost base: Q1/Q2 FY27 PAT more than doubling YoY; guided full-year PAT ~Rs 80 Cr+ (record)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shareholder returns - 3rd buyback in 4 years plus a non-tendering, open-market-buying promoter -&gt; mid-teens buyback+dividend yield and rising per-share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ManyJobs, wedding services, Elite/Jodi segmentation and a Havas Media regional-marketing partnership; net cash &gt;Rs 300 Cr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Structural: paid-subscriber counts are flat-to-declining because a successful match removes the customer - growth has to be re-won every quarter plus 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growth is ATV/price-led (Elite, personalised services), which can saturate; trailing 5-year sales CAGR is only ~4% and OPM has halved to ~10%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Advertising spend has not fallen meaningfully in absolute terms yet - the operating-leverage thesis depends on that changing and holding for several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startup-investing capital allocation is an unquantified risk on a cash-generative balance sheet with no clear stated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on ~Rs 1,067 Cr needs PAT toward ~Rs 250 Cr+ and a re-rating to ~40x - aggressive for a business the market has repeatedly refused to re-rate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clearest genuine setup in this batch - deep-value leader, easing competition, promoter buying and operating leverage inflecting - but conviction is LOW-to-MEDIUM and unconfirmed until margin expansion holds for 2-3 more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recent-inflection rule, a weak multi-year average is overridden by a specific, credible near-term change: PAT more than doubling YoY on operating leverage, competition easing, and a promoter buying stock - with a dominant moat and an EV ex-cash of only ~Rs 500 Cr, the 10x-in-2-3-years frame is reasonable, not fanciful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LOW/MEDIUM and explicitly unconfirmed: the operating-leverage thesis needs ad spend to actually fall and margins to sustain across Q3/Q4 FY27; paid-subscriber stagnation is a real structural headwind; and the startup-investing allocation is an open capital-allocation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Re-check trigger: two more quarters of PAT growth with a visible absolute decline in ad spend, plus clarity on the startup-investing policy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2026-08-29T08:22:52.459Z</dcterms:created>
  <dcterms:modified xsi:type="dcterms:W3CDTF">2026-08-29T08:22:52.460Z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