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Msafe Equipments Ltd</w:t>
      </w:r>
    </w:p>
    <w:p>
      <w:pPr>
        <w:pBdr>
          <w:bottom w:val="single" w:color="CCCCCC" w:sz="6" w:space="8"/>
        </w:pBdr>
        <w:spacing w:after="200"/>
      </w:pPr>
      <w:r>
        <w:rPr>
          <w:i/>
          <w:iCs/>
          <w:color w:val="666666"/>
          <w:sz w:val="22"/>
          <w:szCs w:val="22"/>
        </w:rPr>
        <w:t xml:space="preserve">Recently-listed SME making + renting access and height-safety equipment (formwork, scaffolding, fall protection) for construction/infra — high ROE and 40% growth, but leveraged, no moat, and no 10x path off a ~Rs 400 Cr base</w:t>
      </w:r>
    </w:p>
    <w:p>
      <w:pPr>
        <w:pStyle w:val="Heading1"/>
        <w:spacing w:after="120" w:before="280"/>
      </w:pPr>
      <w:r>
        <w:t xml:space="preserve">Business Overview</w:t>
      </w:r>
    </w:p>
    <w:p>
      <w:pPr>
        <w:spacing w:after="120"/>
      </w:pPr>
      <w:r>
        <w:t xml:space="preserve">Msafe Equipments (incorporated 2019, listed ~Aug 2025) manufactures, sells and rents access and height-safety equipment — formwork, scaffolding, fall-protection systems — to construction, infrastructure and industrial customers, on a dual product-sales + rental model. Promoter (Pradeep Aggarwal family) holds ~73%, no pledge.</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408 Cr (small-cap)</w:t>
            </w:r>
          </w:p>
        </w:tc>
      </w:tr>
      <w:tr>
        <w:tc>
          <w:tcPr>
            <w:tcW w:type="dxa" w:w="3200"/>
            <w:shd w:fill="F2F2F2" w:val="clear"/>
          </w:tcPr>
          <w:p>
            <w:r>
              <w:rPr>
                <w:b/>
                <w:bCs/>
              </w:rPr>
              <w:t xml:space="preserve">ROE / ROCE</w:t>
            </w:r>
          </w:p>
        </w:tc>
        <w:tc>
          <w:tcPr>
            <w:tcW w:type="dxa" w:w="5800"/>
          </w:tcPr>
          <w:p>
            <w:r>
              <w:t xml:space="preserve">~36% / ~21% (FY25)</w:t>
            </w:r>
          </w:p>
        </w:tc>
      </w:tr>
      <w:tr>
        <w:tc>
          <w:tcPr>
            <w:tcW w:type="dxa" w:w="3200"/>
            <w:shd w:fill="F2F2F2" w:val="clear"/>
          </w:tcPr>
          <w:p>
            <w:r>
              <w:rPr>
                <w:b/>
                <w:bCs/>
              </w:rPr>
              <w:t xml:space="preserve">Revenue</w:t>
            </w:r>
          </w:p>
        </w:tc>
        <w:tc>
          <w:tcPr>
            <w:tcW w:type="dxa" w:w="5800"/>
          </w:tcPr>
          <w:p>
            <w:r>
              <w:t xml:space="preserve">Rs 29.7 Cr (FY23) -&gt; Rs 71.6 Cr (FY25) -&gt; ~Rs 103.5 Cr (FY26)</w:t>
            </w:r>
          </w:p>
        </w:tc>
      </w:tr>
      <w:tr>
        <w:tc>
          <w:tcPr>
            <w:tcW w:type="dxa" w:w="3200"/>
            <w:shd w:fill="F2F2F2" w:val="clear"/>
          </w:tcPr>
          <w:p>
            <w:r>
              <w:rPr>
                <w:b/>
                <w:bCs/>
              </w:rPr>
              <w:t xml:space="preserve">Q1 FY27</w:t>
            </w:r>
          </w:p>
        </w:tc>
        <w:tc>
          <w:tcPr>
            <w:tcW w:type="dxa" w:w="5800"/>
          </w:tcPr>
          <w:p>
            <w:r>
              <w:t xml:space="preserve">Sales Rs 31.8 Cr (+40% YoY); PAT Rs 7.3 Cr (+44% YoY)</w:t>
            </w:r>
          </w:p>
        </w:tc>
      </w:tr>
      <w:tr>
        <w:tc>
          <w:tcPr>
            <w:tcW w:type="dxa" w:w="3200"/>
            <w:shd w:fill="F2F2F2" w:val="clear"/>
          </w:tcPr>
          <w:p>
            <w:r>
              <w:rPr>
                <w:b/>
                <w:bCs/>
              </w:rPr>
              <w:t xml:space="preserve">Debt</w:t>
            </w:r>
          </w:p>
        </w:tc>
        <w:tc>
          <w:tcPr>
            <w:tcW w:type="dxa" w:w="5800"/>
          </w:tcPr>
          <w:p>
            <w:r>
              <w:t xml:space="preserve">Total borrowings ~Rs 37.7 Cr vs net worth ~Rs 36.2 Cr — leveraged for the size</w:t>
            </w:r>
          </w:p>
        </w:tc>
      </w:tr>
      <w:tr>
        <w:tc>
          <w:tcPr>
            <w:tcW w:type="dxa" w:w="3200"/>
            <w:shd w:fill="F2F2F2" w:val="clear"/>
          </w:tcPr>
          <w:p>
            <w:r>
              <w:rPr>
                <w:b/>
                <w:bCs/>
              </w:rPr>
              <w:t xml:space="preserve">52-week range</w:t>
            </w:r>
          </w:p>
        </w:tc>
        <w:tc>
          <w:tcPr>
            <w:tcW w:type="dxa" w:w="5800"/>
          </w:tcPr>
          <w:p>
            <w:r>
              <w:t xml:space="preserve">~Rs 102 - 219 (listed at Rs 144; hit an all-time high before pulling back)</w:t>
            </w:r>
          </w:p>
        </w:tc>
      </w:tr>
      <w:tr>
        <w:tc>
          <w:tcPr>
            <w:tcW w:type="dxa" w:w="3200"/>
            <w:shd w:fill="F2F2F2" w:val="clear"/>
          </w:tcPr>
          <w:p>
            <w:r>
              <w:rPr>
                <w:b/>
                <w:bCs/>
              </w:rPr>
              <w:t xml:space="preserve">Stock P/E</w:t>
            </w:r>
          </w:p>
        </w:tc>
        <w:tc>
          <w:tcPr>
            <w:tcW w:type="dxa" w:w="5800"/>
          </w:tcPr>
          <w:p>
            <w:r>
              <w:t xml:space="preserve">~14-20x (on a ~Rs 25-30 Cr annualised PAT run-rate)</w:t>
            </w:r>
          </w:p>
        </w:tc>
      </w:tr>
    </w:tbl>
    <w:p>
      <w:pPr>
        <w:spacing w:after="100"/>
      </w:pPr>
    </w:p>
    <w:p>
      <w:pPr>
        <w:spacing w:after="120"/>
      </w:pPr>
      <w:r>
        <w:t xml:space="preserve">Genuine growth and high headline returns: ~40% revenue and PAT growth in Q1 FY27, ROE in the mid-30s, on a rapid three-year ramp from Rs 30 Cr to Rs 100 Cr+ of revenue. Against that: borrowings roughly equal net worth (a rental fleet is capital-hungry), the company has barely a year of listed history, and the 'moat' is a rental fleet plus safety certifications and site relationships — all replicable. The 'infra formalisation / safety-norm' tailwind is real but diffuse, and it does not scale a ~Rs 400 Cr company to a multi-bagger on any reasonable view.</w:t>
      </w:r>
    </w:p>
    <w:p>
      <w:pPr>
        <w:pStyle w:val="Heading1"/>
        <w:spacing w:after="120" w:before="280"/>
      </w:pPr>
      <w:r>
        <w:t xml:space="preserve">Technical Read (Weekly / Monthly MACD + Bollinger Bands, or RSI/CCI/Williams %R proxy)</w:t>
      </w:r>
    </w:p>
    <w:p>
      <w:pPr>
        <w:spacing w:after="120"/>
      </w:pPr>
      <w:r>
        <w:t xml:space="preserve">Ran up to an all-time high (~Rs 219) post-listing before retracing toward the low ~Rs 100s; volatile, small float.</w:t>
      </w:r>
    </w:p>
    <w:p>
      <w:pPr>
        <w:pStyle w:val="Heading1"/>
        <w:spacing w:after="120" w:before="280"/>
      </w:pPr>
      <w:r>
        <w:t xml:space="preserve">ValuePickr Community Signal</w:t>
      </w:r>
    </w:p>
    <w:p>
      <w:pPr>
        <w:spacing w:after="120"/>
      </w:pPr>
      <w:r>
        <w:t xml:space="preserve">No ValuePickr thread exists (forum search returned nothing in categories 11/14/17). The lead comes from an untrusted X handle (@ankitbahuguna84), whose case is: big investors accumulating, a solid Q1, the stock hitting upper circuits / an all-time high, and the company as a proxy for infrastructure formalisation. No community validation is available.</w:t>
      </w:r>
    </w:p>
    <w:p>
      <w:pPr>
        <w:spacing w:after="120"/>
      </w:pPr>
      <w:r>
        <w:rPr>
          <w:b/>
          <w:bCs/>
          <w:sz w:val="20"/>
          <w:szCs w:val="20"/>
        </w:rPr>
        <w:t xml:space="preserve">High-conviction call from a top contributor: </w:t>
      </w:r>
      <w:r>
        <w:rPr>
          <w:sz w:val="20"/>
          <w:szCs w:val="20"/>
        </w:rPr>
        <w:t xml:space="preserve">None (no VP thread; untrusted X lead only).</w:t>
      </w:r>
    </w:p>
    <w:p>
      <w:pPr>
        <w:pStyle w:val="Heading1"/>
        <w:spacing w:after="120" w:before="280"/>
      </w:pPr>
      <w:r>
        <w:t xml:space="preserve">BSE Corporate Actions / Other Red Flags</w:t>
      </w:r>
    </w:p>
    <w:p>
      <w:pPr>
        <w:spacing w:after="120"/>
      </w:pPr>
      <w:r>
        <w:t xml:space="preserve">No SEBI/fraud order; no going-concern issue. Promoter holding ~73% with nil pledge; a promoter made a small open-market purchase in early 2026. Newly listed SME — disclosure track record is short.</w:t>
      </w:r>
    </w:p>
    <w:p>
      <w:pPr>
        <w:pStyle w:val="Heading1"/>
        <w:spacing w:after="120" w:before="280"/>
      </w:pPr>
      <w:r>
        <w:t xml:space="preserve">Bull Case</w:t>
      </w:r>
    </w:p>
    <w:p>
      <w:pPr>
        <w:pStyle w:val="ListParagraph"/>
        <w:numPr>
          <w:ilvl w:val="0"/>
          <w:numId w:val="1"/>
        </w:numPr>
        <w:spacing w:after="60"/>
      </w:pPr>
      <w:r>
        <w:t xml:space="preserve">Fast growth (revenue Rs 30 Cr -&gt; Rs 100 Cr+ in 3 years; +40% in Q1 FY27) with mid-30s ROE</w:t>
      </w:r>
    </w:p>
    <w:p>
      <w:pPr>
        <w:pStyle w:val="ListParagraph"/>
        <w:numPr>
          <w:ilvl w:val="0"/>
          <w:numId w:val="1"/>
        </w:numPr>
        <w:spacing w:after="60"/>
      </w:pPr>
      <w:r>
        <w:t xml:space="preserve">Dual model (equipment sales + rental) gives a recurring revenue layer</w:t>
      </w:r>
    </w:p>
    <w:p>
      <w:pPr>
        <w:pStyle w:val="ListParagraph"/>
        <w:numPr>
          <w:ilvl w:val="0"/>
          <w:numId w:val="1"/>
        </w:numPr>
        <w:spacing w:after="60"/>
      </w:pPr>
      <w:r>
        <w:t xml:space="preserve">Leveraged to India infrastructure capex and to tightening construction-site safety norms (formalisation)</w:t>
      </w:r>
    </w:p>
    <w:p>
      <w:pPr>
        <w:pStyle w:val="ListParagraph"/>
        <w:numPr>
          <w:ilvl w:val="0"/>
          <w:numId w:val="1"/>
        </w:numPr>
        <w:spacing w:after="60"/>
      </w:pPr>
      <w:r>
        <w:t xml:space="preserve">Promoter holds ~73% with no pledge and has bought in the open market</w:t>
      </w:r>
    </w:p>
    <w:p>
      <w:pPr>
        <w:pStyle w:val="Heading1"/>
        <w:spacing w:after="120" w:before="280"/>
      </w:pPr>
      <w:r>
        <w:t xml:space="preserve">Bear Case / Key Risks</w:t>
      </w:r>
    </w:p>
    <w:p>
      <w:pPr>
        <w:pStyle w:val="ListParagraph"/>
        <w:numPr>
          <w:ilvl w:val="0"/>
          <w:numId w:val="1"/>
        </w:numPr>
        <w:spacing w:after="60"/>
      </w:pPr>
      <w:r>
        <w:t xml:space="preserve">Borrowings roughly equal net worth — a rental fleet is capital-intensive and the balance sheet is already stretched for the size</w:t>
      </w:r>
    </w:p>
    <w:p>
      <w:pPr>
        <w:pStyle w:val="ListParagraph"/>
        <w:numPr>
          <w:ilvl w:val="0"/>
          <w:numId w:val="1"/>
        </w:numPr>
        <w:spacing w:after="60"/>
      </w:pPr>
      <w:r>
        <w:t xml:space="preserve">No moat: rental fleet + safety certifications + site relationships are all replicable; competes with larger access-equipment renters</w:t>
      </w:r>
    </w:p>
    <w:p>
      <w:pPr>
        <w:pStyle w:val="ListParagraph"/>
        <w:numPr>
          <w:ilvl w:val="0"/>
          <w:numId w:val="1"/>
        </w:numPr>
        <w:spacing w:after="60"/>
      </w:pPr>
      <w:r>
        <w:t xml:space="preserve">~Rs 400 Cr market cap with no realistic path to a 10x/100x outcome; the 'formalisation' tailwind is diffuse</w:t>
      </w:r>
    </w:p>
    <w:p>
      <w:pPr>
        <w:pStyle w:val="ListParagraph"/>
        <w:numPr>
          <w:ilvl w:val="0"/>
          <w:numId w:val="1"/>
        </w:numPr>
        <w:spacing w:after="60"/>
      </w:pPr>
      <w:r>
        <w:t xml:space="preserve">Barely one year listed; small float, high post-listing volatility; lead is from an untrusted X handle</w:t>
      </w:r>
    </w:p>
    <w:p>
      <w:pPr>
        <w:pStyle w:val="Heading1"/>
        <w:spacing w:after="120" w:before="280"/>
      </w:pPr>
      <w:r>
        <w:t xml:space="preserve">Market-Cap Tier (informational — not a gate in this project)</w:t>
      </w:r>
    </w:p>
    <w:p>
      <w:pPr>
        <w:spacing w:after="120"/>
      </w:pPr>
      <w:r>
        <w:rPr>
          <w:b/>
          <w:bCs/>
        </w:rPr>
        <w:t xml:space="preserve">Small-cap (~Rs 408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weak · moat: no · valuation: weak  (score 1.5 / 4)</w:t>
      </w:r>
    </w:p>
    <w:p>
      <w:pPr>
        <w:spacing w:after="120"/>
      </w:pPr>
      <w:r>
        <w:rPr>
          <w:i/>
          <w:iCs/>
          <w:color w:val="666666"/>
          <w:sz w:val="20"/>
          <w:szCs w:val="20"/>
        </w:rPr>
        <w:t xml:space="preserve">tailwind weak (infra capex + safety formalisation is real but diffuse). tam weak (access/height-safety equipment rental + sales is a modest India TAM; 10x = Rs 4,000 Cr is not credible off this base). moat no (fleet + certifications, fully replicable). valuation weak (~14-20x, re-rated hard post-listing, tiny float). Score 1.5 -&gt; neither, hard.</w:t>
      </w:r>
    </w:p>
    <w:p>
      <w:pPr>
        <w:pStyle w:val="Heading1"/>
        <w:spacing w:after="120" w:before="280"/>
      </w:pPr>
      <w:r>
        <w:t xml:space="preserve">Verdict</w:t>
      </w:r>
    </w:p>
    <w:p>
      <w:pPr>
        <w:spacing w:after="120"/>
      </w:pPr>
      <w:r>
        <w:rPr>
          <w:b/>
          <w:bCs/>
          <w:sz w:val="24"/>
          <w:szCs w:val="24"/>
        </w:rPr>
      </w:r>
    </w:p>
    <w:p>
      <w:pPr>
        <w:pStyle w:val="ListParagraph"/>
        <w:numPr>
          <w:ilvl w:val="0"/>
          <w:numId w:val="1"/>
        </w:numPr>
        <w:spacing w:after="60"/>
      </w:pPr>
      <w:r>
        <w:t xml:space="preserve">External-lead (tier 4.5) from untrusted X handle @ankitbahuguna84. four_box score 1.5 -&gt; thesis_fit 'neither', hard (no exception permitted at or below 1.5). Real growth and high ROE, but a capital-hungry rental model with borrowings ~= net worth, no moat, and a ~Rs 400 Cr base with no multi-bagger path.</w:t>
      </w:r>
    </w:p>
    <w:p>
      <w:pPr>
        <w:pStyle w:val="ListParagraph"/>
        <w:numPr>
          <w:ilvl w:val="0"/>
          <w:numId w:val="1"/>
        </w:numPr>
        <w:spacing w:after="60"/>
      </w:pPr>
      <w:r>
        <w:t xml:space="preserve">Conviction Low-Medium: the growth and promoter alignment are genuine and the valuation is not extreme, which is why it clears 'Low', but the leverage, the absence of any competitive edge, and the one-year listed history cap it.</w:t>
      </w:r>
    </w:p>
    <w:p>
      <w:pPr>
        <w:pStyle w:val="ListParagraph"/>
        <w:numPr>
          <w:ilvl w:val="0"/>
          <w:numId w:val="1"/>
        </w:numPr>
        <w:spacing w:after="60"/>
      </w:pPr>
      <w:r>
        <w:t xml:space="preserve">No VP thread (web-only write-up). No live-theme match (formwork/scaffolding/access-equipment is not in active_themes.json). No red_flag_tier. No revisit flag.</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2026-09-04T08:19:18.907Z</dcterms:created>
  <dcterms:modified xsi:type="dcterms:W3CDTF">2026-09-04T08:19:18.908Z</dcterms:modified>
</cp:coreProperties>
</file>

<file path=docProps/custom.xml><?xml version="1.0" encoding="utf-8"?>
<Properties xmlns="http://schemas.openxmlformats.org/officeDocument/2006/custom-properties" xmlns:vt="http://schemas.openxmlformats.org/officeDocument/2006/docPropsVTypes"/>
</file>