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Muthoot Finance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gold-loan NBFC — outstanding recent momentum (AUM +43% YoY, PAT up sharply on the gold-price surge) and ~20% ROE, but at ~Rs 1.5 lakh crore it is far too large for a 10x-in-2-3-years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Market-leading gold-loan lender with a large branch network; subsidiaries in microfinance, home finance and vehicle finance. Earnings geared to gold prices (higher gold value per gram lifts loan sizes and yields) and gold-loan demand.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1,50,000 Cr (~Rs 1.5 lakh crore)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Consolidated AUM</w:t>
            </w:r>
          </w:p>
        </w:tc>
        <w:tc>
          <w:tcPr>
            <w:tcW w:type="dxa" w:w="5800"/>
          </w:tcPr>
          <w:p>
            <w:r>
              <w:t xml:space="preserve">~Rs 1.91 lakh crore (+43% YoY); standalone gold-loan AUM ~Rs 1.63–1.65 lakh crore (+44–54%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</w:t>
            </w:r>
          </w:p>
        </w:tc>
        <w:tc>
          <w:tcPr>
            <w:tcW w:type="dxa" w:w="5800"/>
          </w:tcPr>
          <w:p>
            <w:r>
              <w:t xml:space="preserve">FY25 ~Rs 10,607 Cr; recent quarters +43–90%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~19–20% (FY25) rising toward ~22% (FY26E)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(FY25)</w:t>
            </w:r>
          </w:p>
        </w:tc>
        <w:tc>
          <w:tcPr>
            <w:tcW w:type="dxa" w:w="5800"/>
          </w:tcPr>
          <w:p>
            <w:r>
              <w:t xml:space="preserve">~Rs 31,209 Cr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business is executing exceptionally — record AUM growth, strong spreads, ~20%+ ROE — helped by a powerful gold-price tailwind. But this is a mega-cap: a 10x from ~Rs 1.5 lakh crore would imply a ~Rs 15 lakh crore NBFC in 2–3 years, which is not credible. It is a high-quality compounder, not a screen fit for this mandate.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Stock at/near all-time highs; ~Rs 1.5 trillion cap milestone recently crossed.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Did not run a deep thread read — mega-cap, filtered at Step 3 on size. Thread (topic 1614) ~337 posts, last active 06-Aug-2026.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pass (Step 4 skipped).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checked. No red flags identified.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 franchise; AUM +43% YoY with ~20%+ ROE and strong spreads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Gold-price surge structurally lifts loan sizes, yields and demand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Diversifying subsidiaries (MFI, home, vehicle finance)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1.5 lakh crore cap — a 2–3 year 10x is arithmetically implausible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Earnings partly cyclical on gold prices; a sharp gold correction would compress growth and asset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Regulatory attention on gold-loan LTV/practices is a recurring sector risk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1,50,000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business, wrong size — a mega-cap compounder, not a 10x-in-2-3-years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No-ceiling thesis still needs a sharp catalyst for a large name; here the catalyst (gold prices) is real but the base is ~Rs 1.5 lakh crore, so the multibagger math does not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Filtered at Step 3 on size; fundamentals are strong and not the reason for the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Would be a quality-compounder pick in a different mandate, not this screen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2026-08-30T06:24:40.458Z</dcterms:created>
  <dcterms:modified xsi:type="dcterms:W3CDTF">2026-08-30T06:24:40.459Z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