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Oriana Power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solar EPC + RESCO player now with a large arm's-length SECI green-ammonia offtake - but a SEBI warning letter, heavy promoter-entity related-party sales and trusted-user balance-sheet distrust keep it HIGH CAUTION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March 2025 SEBI warning letter (ICDR disclosure) still unresolved; ~1/3 of historic revenue from promoter-group entities; multiple elevated-tier users explicitly distrust the balance sheet.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Solar EPC and RESCO (build-own-operate) developer on the SME board, diversifying into BESS, green hydrogen/ammonia, CBG and e-fuel; ~1/3 of historic revenue was sales to promoter-group entities.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Small-cap, SME board; recently near 52-week 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(reported)</w:t>
            </w:r>
          </w:p>
        </w:tc>
        <w:tc>
          <w:tcPr>
            <w:tcW w:type="dxa" w:w="5800"/>
          </w:tcPr>
          <w:p>
            <w:r>
              <w:t xml:space="preserve">~32%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(reported)</w:t>
            </w:r>
          </w:p>
        </w:tc>
        <w:tc>
          <w:tcPr>
            <w:tcW w:type="dxa" w:w="5800"/>
          </w:tcPr>
          <w:p>
            <w:r>
              <w:t xml:space="preserve">~159% (small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New offtake</w:t>
            </w:r>
          </w:p>
        </w:tc>
        <w:tc>
          <w:tcPr>
            <w:tcW w:type="dxa" w:w="5800"/>
          </w:tcPr>
          <w:p>
            <w:r>
              <w:t xml:space="preserve">SECI green ammonia PA: 60,000 TPA at Rs 52.25/kg, ~Rs 3,135 Cr over 10 years, Sagar (MP); Madhya Bharat Agro end off-taker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</w:t>
            </w:r>
          </w:p>
        </w:tc>
        <w:tc>
          <w:tcPr>
            <w:tcW w:type="dxa" w:w="5800"/>
          </w:tcPr>
          <w:p>
            <w:r>
              <w:t xml:space="preserve">March 2025 SEBI warning letter (ICDR disclosure); related-party revenue concentration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Reported metrics (ROCE ~32%, ~159% growth off a small base) arithmetically fit a 10x profile. The SECI green-ammonia offtake, formalised 30 Mar 2026, materialises the Aug-2025 SIGHT LoA and adds the first large contracted, genuinely arm's-length (SECI-backed) revenue stream (~Rs 300 Cr/yr average once the plant is built). It does not resolve the March-2025 SEBI warning letter, the historic ~1/3 related-party revenue, the scripted/over-moderated concalls, or the multi-vertical capex-intensive diversification that trusted users call unproven.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renewables build-out: solar EPC/RESCO + BESS + green hydrogen/ammonia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solar EPC and RESCO developer moving into green ammonia (SIGHT/SECI) and BESS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Oriana peers: Waaree Energies (EPC), KPI Green, Sterling &amp; Wilson, Websol (cells)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Sector is adding capacity aggressively; Oriana's edge is the SECI green-ammonia LoA-to-PA conversion, but governance and related-party concerns dominate the capital-cycle read here.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new forum activity since the prior read (thread stable, highest #78). Prior sentiment stands: several elevated-tier users (hnk_so, vikas_sinha, Shail1234) explicitly distrust the balance sheet / governance and will not invest.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Prior trusted signal carried forward: Shail1234 (2026-06-26) - poor concall, no main-board-migration update, 'green hydrogen, CBG, e-fuel, electrolyzer - so far it's nothing'.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2026-06-26 — Shail1234</w:t>
      </w:r>
      <w:r>
        <w:rPr>
          <w:i/>
          <w:iCs/>
          <w:color w:val="666666"/>
          <w:sz w:val="18"/>
          <w:szCs w:val="18"/>
        </w:rPr>
        <w:t xml:space="preserve"> (Oriana Power)</w:t>
      </w:r>
      <w:r>
        <w:rPr>
          <w:sz w:val="20"/>
          <w:szCs w:val="20"/>
        </w:rPr>
        <w:br/>
        <w:t xml:space="preserve">: Poor concall - over-moderated, no direct investor questions, no main-board-migration or Actis per-MW-profit update; diversification 'so far it's nothing'.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ROCE ~32% and ~159% growth off a small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SECI green-ammonia offtake gives first large, contracted, arm's-length revenue visibility (10-year)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across BESS, green hydrogen/ammonia, CBG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March 2025 SEBI warning letter - an active regulatory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~1/3 of historic revenue from promoter-group entities - model integrity unverifiable from outside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elevated-tier users explicitly distrust the balance sheet / governance; concalls scripted and over-moderated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Green-ammonia plant is years out, debt- and capex-intensive; execution entirely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SME-board with the disclosure/liquidity limits that implies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(SME board)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Re-verification: the SECI green-ammonia offtake is a real, large, arm's-length catalyst, but it does not clear the SEBI / related-party / governance overhang - HIGH CAUTION and Low conviction 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stock (Sovrenn lead). The SECI Green Ammonia Purchase Agreement is verified exactly as described and is genuinely positive - it adds the first large contracted non-promoter revenue stream and 10-year visibility.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it is years from revenue and does nothing about the March-2025 SEBI warning letter, the historic ~1/3 related-party revenue, or the explicit balance-sheet distrust from several elevated-tier users - so the HIGH CAUTION tier and Low conviction are unchanged.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stays 10x-in-2-3-years (reported numbers support the headline math); no 30-day revisit (HIGH CAUTION + Low). Re-check if the SEBI matter closes cleanly, related-party revenue share falls materially, the company migrates to the main board, and green-ammonia/BESS revenue actually appears.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2026-09-01T18:57:35.084Z</dcterms:created>
  <dcterms:modified xsi:type="dcterms:W3CDTF">2026-09-01T18:57:35.084Z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