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4E5F"/>
          <w:sz w:val="44"/>
          <w:szCs w:val="44"/>
        </w:rPr>
        <w:t xml:space="preserve">PNGS Gargi Fashion Jewellery Ltd</w:t>
      </w:r>
    </w:p>
    <w:p>
      <w:pPr>
        <w:pBdr>
          <w:bottom w:val="single" w:color="CCCCCC" w:sz="6" w:space="8"/>
        </w:pBdr>
        <w:spacing w:after="200"/>
      </w:pPr>
      <w:r>
        <w:rPr>
          <w:i/>
          <w:iCs/>
          <w:color w:val="666666"/>
          <w:sz w:val="22"/>
          <w:szCs w:val="22"/>
        </w:rPr>
        <w:t xml:space="preserve">Debt-free, high-ROE jewellery retailer expanding stores, undercut by a Q1 miss, a walked-back guidance, and a skipped concall</w:t>
      </w:r>
    </w:p>
    <w:p>
      <w:pPr>
        <w:pStyle w:val="Heading1"/>
        <w:spacing w:after="120" w:before="280"/>
      </w:pPr>
      <w:r>
        <w:t xml:space="preserve">Business Overview</w:t>
      </w:r>
    </w:p>
    <w:p>
      <w:pPr>
        <w:spacing w:after="120"/>
      </w:pPr>
      <w:r>
        <w:t xml:space="preserve">PNGS Gargi Fashion Jewellery is a jewellery retailer that grew initially on the back of its parent company's SIS distribution network, now expanding its own store footprint and pathways to reach.</w:t>
      </w:r>
    </w:p>
    <w:p>
      <w:pPr>
        <w:pStyle w:val="Heading1"/>
        <w:spacing w:after="120" w:before="280"/>
      </w:pPr>
      <w:r>
        <w:t xml:space="preserve">Fundamentals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c>
          <w:tcPr>
            <w:tcW w:type="dxa" w:w="3200"/>
            <w:shd w:fill="F2F2F2" w:val="clear"/>
          </w:tcPr>
          <w:p>
            <w:r>
              <w:rPr>
                <w:b/>
                <w:bCs/>
              </w:rPr>
              <w:t xml:space="preserve">Market Cap</w:t>
            </w:r>
          </w:p>
        </w:tc>
        <w:tc>
          <w:tcPr>
            <w:tcW w:type="dxa" w:w="5800"/>
          </w:tcPr>
          <w:p>
            <w:r>
              <w:t xml:space="preserve">Rs 688 Cr</w:t>
            </w:r>
          </w:p>
        </w:tc>
      </w:tr>
      <w:tr>
        <w:tc>
          <w:tcPr>
            <w:tcW w:type="dxa" w:w="3200"/>
            <w:shd w:fill="F2F2F2" w:val="clear"/>
          </w:tcPr>
          <w:p>
            <w:r>
              <w:rPr>
                <w:b/>
                <w:bCs/>
              </w:rPr>
              <w:t xml:space="preserve">ROE</w:t>
            </w:r>
          </w:p>
        </w:tc>
        <w:tc>
          <w:tcPr>
            <w:tcW w:type="dxa" w:w="5800"/>
          </w:tcPr>
          <w:p>
            <w:r>
              <w:t xml:space="preserve">28.90%</w:t>
            </w:r>
          </w:p>
        </w:tc>
      </w:tr>
      <w:tr>
        <w:tc>
          <w:tcPr>
            <w:tcW w:type="dxa" w:w="3200"/>
            <w:shd w:fill="F2F2F2" w:val="clear"/>
          </w:tcPr>
          <w:p>
            <w:r>
              <w:rPr>
                <w:b/>
                <w:bCs/>
              </w:rPr>
              <w:t xml:space="preserve">ROCE</w:t>
            </w:r>
          </w:p>
        </w:tc>
        <w:tc>
          <w:tcPr>
            <w:tcW w:type="dxa" w:w="5800"/>
          </w:tcPr>
          <w:p>
            <w:r>
              <w:t xml:space="preserve">36.63%</w:t>
            </w:r>
          </w:p>
        </w:tc>
      </w:tr>
      <w:tr>
        <w:tc>
          <w:tcPr>
            <w:tcW w:type="dxa" w:w="3200"/>
            <w:shd w:fill="F2F2F2" w:val="clear"/>
          </w:tcPr>
          <w:p>
            <w:r>
              <w:rPr>
                <w:b/>
                <w:bCs/>
              </w:rPr>
              <w:t xml:space="preserve">Revenue growth (FY26)</w:t>
            </w:r>
          </w:p>
        </w:tc>
        <w:tc>
          <w:tcPr>
            <w:tcW w:type="dxa" w:w="5800"/>
          </w:tcPr>
          <w:p>
            <w:r>
              <w:t xml:space="preserve">+18.24% YoY</w:t>
            </w:r>
          </w:p>
        </w:tc>
      </w:tr>
      <w:tr>
        <w:tc>
          <w:tcPr>
            <w:tcW w:type="dxa" w:w="3200"/>
            <w:shd w:fill="F2F2F2" w:val="clear"/>
          </w:tcPr>
          <w:p>
            <w:r>
              <w:rPr>
                <w:b/>
                <w:bCs/>
              </w:rPr>
              <w:t xml:space="preserve">Debt</w:t>
            </w:r>
          </w:p>
        </w:tc>
        <w:tc>
          <w:tcPr>
            <w:tcW w:type="dxa" w:w="5800"/>
          </w:tcPr>
          <w:p>
            <w:r>
              <w:t xml:space="preserve">Almost debt-free</w:t>
            </w:r>
          </w:p>
        </w:tc>
      </w:tr>
      <w:tr>
        <w:tc>
          <w:tcPr>
            <w:tcW w:type="dxa" w:w="3200"/>
            <w:shd w:fill="F2F2F2" w:val="clear"/>
          </w:tcPr>
          <w:p>
            <w:r>
              <w:rPr>
                <w:b/>
                <w:bCs/>
              </w:rPr>
              <w:t xml:space="preserve">1-year return</w:t>
            </w:r>
          </w:p>
        </w:tc>
        <w:tc>
          <w:tcPr>
            <w:tcW w:type="dxa" w:w="5800"/>
          </w:tcPr>
          <w:p>
            <w:r>
              <w:t xml:space="preserve">~-22.4% to -9.93% depending on source/period</w:t>
            </w:r>
          </w:p>
        </w:tc>
      </w:tr>
    </w:tbl>
    <w:p>
      <w:pPr>
        <w:spacing w:after="100"/>
      </w:pPr>
    </w:p>
    <w:p>
      <w:pPr>
        <w:spacing w:after="120"/>
      </w:pPr>
      <w:r>
        <w:t xml:space="preserve">Headline return ratios are excellent (ROE 28.9%, ROCE 36.63%) and the balance sheet is debt-free, but the most recent quarter told a materially different story than the trailing averages: Q1 FY27 sales grew 11% but PAT fell 5% as gross margins compressed (46.1% to 42.2% QoQ) on higher employee costs and falling silver prices against MRP-based pricing.</w:t>
      </w:r>
    </w:p>
    <w:p>
      <w:pPr>
        <w:pStyle w:val="Heading1"/>
        <w:spacing w:after="120" w:before="280"/>
      </w:pPr>
      <w:r>
        <w:t xml:space="preserve">Technical Read (Weekly / Monthly MACD + Bollinger Bands, or RSI/CCI/Williams %R proxy)</w:t>
      </w:r>
    </w:p>
    <w:p>
      <w:pPr>
        <w:spacing w:after="120"/>
      </w:pPr>
      <w:r>
        <w:t xml:space="preserve">Not checked this pass.</w:t>
      </w:r>
    </w:p>
    <w:p>
      <w:pPr>
        <w:pStyle w:val="Heading1"/>
        <w:spacing w:after="120" w:before="280"/>
      </w:pPr>
      <w:r>
        <w:t xml:space="preserve">ValuePickr Community Signal</w:t>
      </w:r>
    </w:p>
    <w:p>
      <w:pPr>
        <w:spacing w:after="120"/>
      </w:pPr>
      <w:r>
        <w:t xml:space="preserve">Read most recent 50 of 142 posts (single batch, no escalation despite the negative trend, since this does not meet a positive-conviction escalation trigger). Aug 2026 posts are dominated by a real governance/communication concern layered on top of a weak Q1.</w:t>
      </w:r>
    </w:p>
    <w:p>
      <w:pPr>
        <w:spacing w:after="120"/>
      </w:pPr>
      <w:r>
        <w:rPr>
          <w:b/>
          <w:bCs/>
          <w:sz w:val="20"/>
          <w:szCs w:val="20"/>
        </w:rPr>
        <w:t xml:space="preserve">High-conviction call from a top contributor: </w:t>
      </w:r>
      <w:r>
        <w:rPr>
          <w:sz w:val="20"/>
          <w:szCs w:val="20"/>
        </w:rPr>
        <w:t xml:space="preserve">No trusted-roster users posted in this thread. Rahul_Batra (Aug 2026, two posts with 3 and 5 loves) gave a detailed Q1 FY27 breakdown (PAT -5% despite sales +11%, gross margin compression) and flagged a direct contradiction: the same management said in their business update that demand outlook 'remains positive' while separately telling the official results call that West Asia disturbance was causing a spending slowdown that could jeopardize their 35% growth guidance. garg.saurabh1975 (3 loves) called management skipping the earnings call, combined with the weak quarter, 'a red alert for me,' explicitly framing management quality as everything for an SME. Priyank_Jain (5 loves) agreed it's a red flag but gave management benefit of the doubt as newly public. newrb pointed out the company has no export business, casting doubt on the West Asia explanation and suggesting the real driver may be competition/weak brand recall instead. amrit (Aug 2026, invested, disclosed) raised structural questions about whether growth via the SIS network has an organic ceiling now that the company must find new distribution pathways.</w:t>
      </w:r>
    </w:p>
    <w:p>
      <w:pPr>
        <w:pStyle w:val="Heading1"/>
        <w:spacing w:after="120" w:before="280"/>
      </w:pPr>
      <w:r>
        <w:t xml:space="preserve">BSE Corporate Actions / Other Red Flags</w:t>
      </w:r>
    </w:p>
    <w:p>
      <w:pPr>
        <w:spacing w:after="120"/>
      </w:pPr>
      <w:r>
        <w:t xml:space="preserve">Not checked.</w:t>
      </w:r>
    </w:p>
    <w:p>
      <w:pPr>
        <w:pStyle w:val="Heading1"/>
        <w:spacing w:after="120" w:before="280"/>
      </w:pPr>
      <w:r>
        <w:t xml:space="preserve">Bull Case</w:t>
      </w:r>
    </w:p>
    <w:p>
      <w:pPr>
        <w:pStyle w:val="ListParagraph"/>
        <w:numPr>
          <w:ilvl w:val="0"/>
          <w:numId w:val="1"/>
        </w:numPr>
        <w:spacing w:after="60"/>
      </w:pPr>
      <w:r>
        <w:t xml:space="preserve">Excellent trailing return ratios (ROE 28.9%, ROCE 36.63%) on a debt-free balance sheet</w:t>
      </w:r>
    </w:p>
    <w:p>
      <w:pPr>
        <w:pStyle w:val="ListParagraph"/>
        <w:numPr>
          <w:ilvl w:val="0"/>
          <w:numId w:val="1"/>
        </w:numPr>
        <w:spacing w:after="60"/>
      </w:pPr>
      <w:r>
        <w:t xml:space="preserve">Still opening new stores (9 in Q1 alone) and actively investing in distribution beyond the parent's original SIS network</w:t>
      </w:r>
    </w:p>
    <w:p>
      <w:pPr>
        <w:pStyle w:val="ListParagraph"/>
        <w:numPr>
          <w:ilvl w:val="0"/>
          <w:numId w:val="1"/>
        </w:numPr>
        <w:spacing w:after="60"/>
      </w:pPr>
      <w:r>
        <w:t xml:space="preserve">Stock has already sold off meaningfully, which may partially price in the recent bad news</w:t>
      </w:r>
    </w:p>
    <w:p>
      <w:pPr>
        <w:pStyle w:val="Heading1"/>
        <w:spacing w:after="120" w:before="280"/>
      </w:pPr>
      <w:r>
        <w:t xml:space="preserve">Bear Case / Key Risks</w:t>
      </w:r>
    </w:p>
    <w:p>
      <w:pPr>
        <w:pStyle w:val="ListParagraph"/>
        <w:numPr>
          <w:ilvl w:val="0"/>
          <w:numId w:val="1"/>
        </w:numPr>
        <w:spacing w:after="60"/>
      </w:pPr>
      <w:r>
        <w:t xml:space="preserve">Management skipped its earnings concall for the first time -- independently flagged as a serious red flag by multiple engaged community members, precisely when investors need explanation for a weak quarter</w:t>
      </w:r>
    </w:p>
    <w:p>
      <w:pPr>
        <w:pStyle w:val="ListParagraph"/>
        <w:numPr>
          <w:ilvl w:val="0"/>
          <w:numId w:val="1"/>
        </w:numPr>
        <w:spacing w:after="60"/>
      </w:pPr>
      <w:r>
        <w:t xml:space="preserve">Management gave contradictory public statements on demand outlook within the same reporting cycle (positive in a business update, cautious in the official results call), directly undermining communication credibility</w:t>
      </w:r>
    </w:p>
    <w:p>
      <w:pPr>
        <w:pStyle w:val="ListParagraph"/>
        <w:numPr>
          <w:ilvl w:val="0"/>
          <w:numId w:val="1"/>
        </w:numPr>
        <w:spacing w:after="60"/>
      </w:pPr>
      <w:r>
        <w:t xml:space="preserve">The stated reason for slowdown (West Asia disturbance) was challenged by a community member who noted the company has no export business -- suggesting the real explanation (competition, weak brand recall) may be less flattering</w:t>
      </w:r>
    </w:p>
    <w:p>
      <w:pPr>
        <w:pStyle w:val="ListParagraph"/>
        <w:numPr>
          <w:ilvl w:val="0"/>
          <w:numId w:val="1"/>
        </w:numPr>
        <w:spacing w:after="60"/>
      </w:pPr>
      <w:r>
        <w:t xml:space="preserve">Own 35% growth guidance is now in doubt per management's own (inconsistent) commentary</w:t>
      </w:r>
    </w:p>
    <w:p>
      <w:pPr>
        <w:pStyle w:val="ListParagraph"/>
        <w:numPr>
          <w:ilvl w:val="0"/>
          <w:numId w:val="1"/>
        </w:numPr>
        <w:spacing w:after="60"/>
      </w:pPr>
      <w:r>
        <w:t xml:space="preserve">Gross margin compression (46.1% to 42.2% QoQ) from an MRP-based pricing model exposed to falling silver prices is a real, structural-adjacent margin risk, not one-off noise</w:t>
      </w:r>
    </w:p>
    <w:p>
      <w:pPr>
        <w:pStyle w:val="Heading1"/>
        <w:spacing w:after="120" w:before="280"/>
      </w:pPr>
      <w:r>
        <w:t xml:space="preserve">Market-Cap Tier (informational — not a gate in this project)</w:t>
      </w:r>
    </w:p>
    <w:p>
      <w:pPr>
        <w:spacing w:after="120"/>
      </w:pPr>
      <w:r>
        <w:rPr>
          <w:b/>
          <w:bCs/>
        </w:rPr>
        <w:t xml:space="preserve">Small-cap (~Rs 688 Cr)</w:t>
      </w:r>
    </w:p>
    <w:p>
      <w:pPr>
        <w:pStyle w:val="Heading1"/>
        <w:spacing w:after="120" w:before="280"/>
      </w:pPr>
      <w:r>
        <w:t xml:space="preserve">Thesis Fit</w:t>
      </w:r>
    </w:p>
    <w:p>
      <w:pPr>
        <w:spacing w:after="120"/>
      </w:pPr>
      <w:r>
        <w:rPr>
          <w:b/>
          <w:bCs/>
          <w:sz w:val="24"/>
          <w:szCs w:val="24"/>
        </w:rPr>
        <w:t xml:space="preserve">10x-in-2-3-years</w:t>
      </w:r>
    </w:p>
    <w:p>
      <w:pPr>
        <w:pStyle w:val="Heading1"/>
        <w:spacing w:after="120" w:before="280"/>
      </w:pPr>
      <w:r>
        <w:t xml:space="preserve">Verdict</w:t>
      </w:r>
    </w:p>
    <w:p>
      <w:pPr>
        <w:spacing w:after="120"/>
      </w:pPr>
      <w:r>
        <w:rPr>
          <w:b/>
          <w:bCs/>
          <w:sz w:val="24"/>
          <w:szCs w:val="24"/>
        </w:rPr>
        <w:t xml:space="preserve">Strong trailing numbers undercut by a real governance/communication breakdown right at the point of a weak quarter</w:t>
      </w:r>
    </w:p>
    <w:p>
      <w:pPr>
        <w:pStyle w:val="ListParagraph"/>
        <w:numPr>
          <w:ilvl w:val="0"/>
          <w:numId w:val="1"/>
        </w:numPr>
        <w:spacing w:after="60"/>
      </w:pPr>
      <w:r>
        <w:t xml:space="preserve">Per this screen's rule on weighting recent-quarter trends for small-caps, the story here is the deteriorating recent quarter (margin compression, guidance walk-back) and a genuine governance red flag (skipped concall, contradictory messaging), not the still-strong trailing averages</w:t>
      </w:r>
    </w:p>
    <w:p>
      <w:pPr>
        <w:pStyle w:val="ListParagraph"/>
        <w:numPr>
          <w:ilvl w:val="0"/>
          <w:numId w:val="1"/>
        </w:numPr>
        <w:spacing w:after="60"/>
      </w:pPr>
      <w:r>
        <w:t xml:space="preserve">Multiple independent, engaged community members flagged the same concerns with real specificity (dates, direct quotes, quantified margin moves) rather than vague sentiment, which raises confidence this is a real signal</w:t>
      </w:r>
    </w:p>
    <w:p>
      <w:pPr>
        <w:pStyle w:val="ListParagraph"/>
        <w:numPr>
          <w:ilvl w:val="0"/>
          <w:numId w:val="1"/>
        </w:numPr>
        <w:spacing w:after="60"/>
      </w:pPr>
      <w:r>
        <w:t xml:space="preserve">Kept in the 10x-in-2-3-years bucket given genuine trailing business quality and continued store expansion, but conviction is low given the current trust deficit with management</w:t>
      </w:r>
    </w:p>
    <w:p>
      <w:pPr>
        <w:pBdr>
          <w:top w:val="single" w:color="CCCCCC" w:sz="6" w:space="8"/>
        </w:pBdr>
        <w:spacing w:before="300"/>
      </w:pPr>
      <w:r>
        <w:rPr>
          <w:i/>
          <w:iCs/>
          <w:color w:val="666666"/>
          <w:sz w:val="18"/>
          <w:szCs w:val="18"/>
        </w:rPr>
        <w:t xml:space="preserve">This is independent research and analysis for informational purposes only, not personalized financial or investment advice. Past multi-bagger performance and forum/social sentiment are not indicators of future returns. Do your own due diligence before investing.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2026-08-25T03:18:06.402Z</dcterms:created>
  <dcterms:modified xsi:type="dcterms:W3CDTF">2026-08-25T03:18:06.403Z</dcterms:modified>
</cp:coreProperties>
</file>

<file path=docProps/custom.xml><?xml version="1.0" encoding="utf-8"?>
<Properties xmlns="http://schemas.openxmlformats.org/officeDocument/2006/custom-properties" xmlns:vt="http://schemas.openxmlformats.org/officeDocument/2006/docPropsVTypes"/>
</file>