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Permanent Magnets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Weak recent fundamentals but sitting squarely inside India's rare-earth-magnet self-sufficiency push (REPM scheme, China export curbs)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Permanent Magnets makes magnetic assemblies, current-sensing shunts, and Neodymium (NdFeB) magnet components for automotive/EV, smart electricity meters, and (increasingly) defense/aerospace applications, and is positioning for India's push to build a domestic rare-earth-magnet supply chain.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717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54.4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13.37% CAGR (in line with industry median 13.01%)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619 - 1,230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trusted user's own Feb-2026 note is blunt: revenue has been flat YoY, margins have compressed, and exports have been hit by US tariffs — this is a genuinely weak recent period, not a hidden inflection. The bull case here rests entirely on a forward-looking structural catalyst (India's rare-earth-magnet self-sufficiency push) rather than a current-quarter improvement.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rallied ~30% in a week in mid-2025 on China rare-earth export-curb news, then gave up much of that gain as fundamentals stayed weak through early 2026; not independently charted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82 fetched posts (2023-05 to 2026-08), single batch, from a long-running (97-post) thread. Early 2023 sentiment centered on the EV/smart-meter growth story and an auditor-integrity due-diligence flag (later judged historical/unrelated). By late 2023-2024, growth stalled (PAT fell ~50% YoY in one quarter) as the EV-magnet business slowed. From late 2025, sentiment pivoted almost entirely to the REPM (rare-earth permanent magnet) government scheme and China's export-curb-driven price spike, with the company's own operational performance becoming secondary to the macro thematic. The most recent post (2026-08-26) reports a related private company, Quantum Magnetics, receiving government approval under the Electronics Component Manufacturing Scheme for Neodymium magnet manufacturing — relevant context, not directly about Permanent Magnets itself.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 user T11 wrote an early, well-received (28 loves) deep-dive on the NdFeB magnet landscape's strategic importance in 2023. Trusted user karanshah137 explained the REPM scheme's 'mine-to-magnet' value-chain logic in detail (Nov-Dec 2025). Trusted user siddybee (15 loves) gave the most recent and most balanced take (Feb 2026): despite a ~40% stock decline and weak recent fundamentals (flat revenue, margin compression, tariff-hit exports), the company may be 'sitting on a BIG opportunity' in rare earth magnets — an explicitly forward-looking, unconfirmed thesis.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2025-12-01 — karanshah137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Explained India's REPM scheme is targeting integrated magnet manufacturing (alloying through magnet-making), the value-added end of the chain most relevant to a company like Permanent Magnets, though did not confirm the company's specific participation.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2026-02-01 — siddybee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Acknowledged the stock is down ~40% from his prior writeup with flat revenue, compressed margins, and tariff-hit exports, but argued the company may be 'sitting on a BIG opportunity' given rare-earth-magnet criticality — explicitly framed as a forward, unconfirmed thesis, not a current-fundamentals call.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2023-06-03 — T11</w:t>
      </w:r>
      <w:r>
        <w:rPr>
          <w:i/>
          <w:iCs/>
          <w:color w:val="666666"/>
          <w:sz w:val="18"/>
          <w:szCs w:val="18"/>
        </w:rPr>
        <w:t xml:space="preserve"> (Permanent Magnets)</w:t>
      </w:r>
      <w:r>
        <w:rPr>
          <w:sz w:val="20"/>
          <w:szCs w:val="20"/>
        </w:rPr>
        <w:br/>
        <w:t xml:space="preserve">: Detailed writeup on NdFeB magnets' criticality in defense and EV/wind applications and expected &gt;3x demand growth over 7 years, framing the long-term strategic case (well before the 2025-26 REPM catalyst crystallized).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 2023 due-diligence post flagged the company's then-auditor had been SEBI-fined in an unrelated ~2010-11 matter (a different client, IPO-proceeds siphoning) — historical, not connected to Permanent Magnets' own governance, and not an active action against the company.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Structural, government-backed tailwind (REPM 'mine-to-magnet' scheme) directly targets the rare-earth-magnet value chain this company already operates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China's rare-earth export curbs (2025-26) are already driving real price/demand dynamics in India's favor, independent of company-specific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Long-standing defense/aerospace credibility (ISRO Chandrayaan components, current-sensing shunts for smart meters) gives a base business to fund the optionality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AND recent fundamentals are both weak — flat YoY revenue, compressing margins, and tariff-hit exports per a trusted user's own Feb-2026 assessment, not just an old average masking a new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confirmed evidence yet that Permanent Magnets specifically (versus the broader Indian rare-earth-magnet ecosystem) has secured REPM-scheme allocation or contracts — the thesis is thematic, not yet company-specific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has been volatile (one quarter down ~50% YoY) and the EV-magnet growth driver has repeatedly disappointed relative to expectations since 2023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Magnet-less EV motor technology (e.g., Sona Comstar) was flagged as a nascent but real long-term substitution risk to the automotive magnet business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717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government-scale structural catalyst (rare-earth self-sufficiency) sitting on top of a company with genuinely weak current execution and no confirmed scheme allocation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project's inflection rule, this is the harder case — a small-cap with a credible, specific, high-conviction-adjacent catalyst (REPM scheme, China export curbs) but without yet a confirming recent-quarter improvement in the company's own numbers, so it merits 10x-in-2-3-years at Low conviction with the caveat explicit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(siddybee) made almost exactly this argument directly — weak fundamentals, real optionality, unconfirmed — which supports keeping this in the 'unconfirmed inflection' bucket rather than filtering it 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Needs a confirming data point (an actual REPM-scheme contract or allocation specific to this company, or a margin/revenue inflection) before conviction should move past Low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2026-08-26T17:12:18.392Z</dcterms:created>
  <dcterms:modified xsi:type="dcterms:W3CDTF">2026-08-26T17:12:18.393Z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