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Premco Global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Tiny, honest-management narrow-elastic-fabric maker (supplies Page/Jockey, Lux, Dollar, Rupa; India + Vietnam) with a long dividend record — but a decade of flat sales, a loss-making FY26 on US textile tariffs, ~50% India utilisation, a new capex that isn't paying off and CEO churn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Manufacturer of elastic and non-elastic woven/knitted narrow fabrics, tapes and webbings used in innerwear and apparel. Supplies most major Indian innerwear brands (Page/Jockey, Lux, Dollar, Rupa) plus exports; a Vietnam subsidiary (lower power cost and ~8.5% tax) serves the US market. New Umargaon (Gujarat) plant (~Rs 18 Cr capex, ~Rs 50 Cr peak sales potential) is ramping; a Palghar plant was closed and sold (FY25), proceeds paid out as a special dividend.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130 Cr; stock ~-47% from a ~Rs 685 peak (52w low ~Rs 365)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</w:t>
            </w:r>
          </w:p>
        </w:tc>
        <w:tc>
          <w:tcPr>
            <w:tcW w:type="dxa" w:w="5800"/>
          </w:tcPr>
          <w:p>
            <w:r>
              <w:t xml:space="preserve">Net sales ~Rs 21.4 Cr (-24% YoY); small net loss; EBITDA collapsed ~97%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Into losses (India operations described by a long-term holder as 'a disaster'); Vietnam also hit by ~20% US duty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Utilisation</w:t>
            </w:r>
          </w:p>
        </w:tc>
        <w:tc>
          <w:tcPr>
            <w:tcW w:type="dxa" w:w="5800"/>
          </w:tcPr>
          <w:p>
            <w:r>
              <w:t xml:space="preserve">India ~50%; Vietnam ~75% (peak usable ~85%)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Net cash historically; consistent dividends even in weak quarters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Management outlook</w:t>
            </w:r>
          </w:p>
        </w:tc>
        <w:tc>
          <w:tcPr>
            <w:tcW w:type="dxa" w:w="5800"/>
          </w:tcPr>
          <w:p>
            <w:r>
              <w:t xml:space="preserve">Aspires to ~Rs 200 Cr revenue in ~5 years (from ~Rs 100 Cr), ~17-18% operating margin; new CEO after Mr Panwar's resignation (Jul 2025)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Through-cycle margin</w:t>
            </w:r>
          </w:p>
        </w:tc>
        <w:tc>
          <w:tcPr>
            <w:tcW w:type="dxa" w:w="5800"/>
          </w:tcPr>
          <w:p>
            <w:r>
              <w:t xml:space="preserve">~17% consolidated EBITDA (FY16-24 average)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Premco is a decades-old, owner-run microcap with genuinely honest management and an unbroken dividend habit, but the business has barely grown in ten years (~Rs 66 Cr sales in 2014, ~Rs 70 Cr in 2023) despite adding Vietnam and now Umargaon capacity. FY26 tipped into losses: a 50% US tariff on Indian textiles hit direct and indirect exports, Vietnam took a ~20% US duty, and crude-linked polyester/nylon/rubber costs rose faster than the company could pass through. India utilisation is ~50%, the new capex is not yet contributing, the long-serving CEO resigned, and the Rs 200 Cr-in-5-years aspiration implies a growth rate the company has never delivered. Even its largest long-term holder (an elevated user) has turned critical on capital allocation and 'lack of hunger for growth'.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innerwear / apparel narrow fabrics (elastic tapes, webbing)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small India + Vietnam maker of narrow elastic fabric supplying major innerwear brands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none — fragmented supply, ~80% unorganised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Pioneer Elastic, Rajendra Group (unlisted), numerous unorganised narrow-fabric units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Commodity input to innerwear with no pricing power; customer concentration (Page/Jockey, Lux, Dollar, Rupa ~60% of sales). US tariffs on Indian + Vietnamese textiles are a direct demand hit.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Small, long-running thread dominated by two long-term holders — HIMSHAH (holder since 2005, stresses management honesty) and dd1474 (top-10 holding, detailed AGM notes) — plus a persistent bear (Aarti: fragmented, low-margin industry, capex without sales, PE too high). dd1474 has moved from patient bull to openly critical: 'very poor management of affairs', 'not expecting any magical swing'.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 'buy' call. The most engaged elevated user (dd1474) is now critical of execution and capital allocation. Discovery candidate, theme-rank 2 (no live-theme keyword match; textile-adjacent but no keyword hit).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Honest, owner-run management; unbroken dividend record even through weak quarters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small equity/float — modest sales/margin recovery would lever EPS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Supplies all major Indian innerwear brands; Vietnam gives a low-cost export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Through-cycle consolidated EBITDA margin ~17%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~Decade of flat sales despite capacity additions; new capex not paying 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losses on US textile tariffs (India + Vietnam) and crude-linked input inflation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Fragmented, low-margin industry (~80% unorganised); top-5 customers ~60% of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CEO churn; largest long-term holder now critical of execution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130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weak · moat: no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no (US textile tariffs on India + Vietnam, unorganised competition); tam weak (decade of flat ~Rs 100 Cr sales, unmet 5-yr aspiration); moat no (fragmented commodity, customer concentration); valuation weak (P/E above ~11x historical average on loss/depressed earnings). Score 1.0 -&gt; 'neither',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Honest but chronically no-growth narrow-fabric microcap, loss-making in FY26 on US tariffs, with capex that isn't working — 'neither', Low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Discovery candidate, theme-rank 2 (no live-theme keyword match — recency discovery).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1.0 (tailwind no — US textile-tariff headwind on India + Vietnam, structural competition from unorganised players; tam weak — ~Rs 130 Cr mcap but a decade of ~Rs 100 Cr flat sales and a 5-year aspiration it has never matched; moat no — fragmented low-margin narrow-fabric commodity, customer concentration; valuation weak — P/E elevated vs an ~11x historical average, on depressed/loss earnings). Score &lt;= 1.5 -&gt; thesis_fit 'neither', hard.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US tariff is a recent negative catalyst, but it compounds an already-broken domestic operation and a decade of stagnation in a fragmented commodity business — treated as impairing / normal treatment, not a non-impairing speed-breaker.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red_flag_tier (owner-run, honest, dividend-paying; a loss year is not a going concern).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Low: management integrity and a dividend habit are the only positives; growth is absent, FY26 is loss-making, the new capex isn't contributing, and the most engaged elevated holder has turned critical. First-time read.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2026-09-04T03:01:06.474Z</dcterms:created>
  <dcterms:modified xsi:type="dcterms:W3CDTF">2026-09-04T03:01:06.475Z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