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Privi Speciality Chemicals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largest aroma-chemicals exporter, scaling a Givaudan JV, with accelerating profit growth but a mid-cap size that now needs a sharper catalyst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Privi is India's largest manufacturer and exporter of aroma chemicals (fragrance/flavor ingredients), holding &gt;20% global share in ten products. It has backward-integrated into alpha/beta pinene-based chemistry and commercialized Prigiv, a 51:49 JV with global fragrance major Givaudan (Oct 2024), giving it a captive high-value offtake relationship.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13,602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22.3% / 26.0% (Q3FY26: ROCE 21.63%, ROE 24.35%)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Q3FY26 growth</w:t>
            </w:r>
          </w:p>
        </w:tc>
        <w:tc>
          <w:tcPr>
            <w:tcW w:type="dxa" w:w="5800"/>
          </w:tcPr>
          <w:p>
            <w:r>
              <w:t xml:space="preserve">Revenue +23% YoY, EBITDA +37% YoY (margin 25.8% vs 23.3%), PAT +76%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2,194 - 3,785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Profit growth has clearly accelerated through FY26: Q3FY26 alone delivered 76% YoY PAT growth on 23% revenue growth with expanding EBITDA margins (25.8% vs 23.3% YoY), and the company remains debt-free. The Prigiv JV with Givaudan commercialized in Oct 2024 and is ramping, giving a structural high-value revenue stream beyond commodity aroma chemicals. A cancelled QIP (June 2025, citing improved cash accrual) is a positive read on organic cash generation.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 -- proceeded on fundamentals/community strength, not chart timing.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full 57-post thread (single batch, no escalation needed) spanning Jan 2022 to Apr 2026. Early sentiment cautious after a 2022 margin miss (freight/RM cost spikes, a Maharashtra Pollution Board notice management downplayed). Sentiment turned structurally positive from 2024 as Q3FY24 results beat sharply and the Givaudan JV progressed; by Q3FY26 (Feb 2026) posts confirm broad-based margin expansion (MOSL initiated Buy, target Rs 3,900). Recurring watch-item: promoter (Bhaktavatsala Doppalapudi) periodic block-sale/bulk-deal activity (Jun 2025, Dec 2025) despite very high promoter holding (74%), which the community has flagged but not treated as disqualifying.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single trusted-roster user staked a strong 'primary holding' claim in this thread; several elevated-tier users (Sid_Mathew, Vivek_6954, basumallick, Gautam_Chopra, vikasbargale) posted informational updates (concall notes, broker targets) rather than conviction calls. The state.json sourcing signal (joinjp2003, 2% portfolio weight) currently shows a loss (-6.01%), i.e. a modest/negative real-money data point rather than a strong endorsement.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 Promoter block/bulk-deal selling recurs periodically (most recently Dec 2025-Jan 2026) alongside very high promoter holding (~74%) -- worth monitoring but not a governance red flag by itself given the holding base.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Genuine, accelerating profit growth: Q3FY26 PAT +76% YoY, EBITDA margin expansion to 25.8%, debt-free balance sheet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Prigiv JV with Givaudan (global fragrance major) commercialized and ramping -- a structural, not just cyclical, value-add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India's largest aroma-chemicals exporter with &gt;20% global share in ten products -- a real moat in a niche, technically-demanding category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QIP cancelled on improved organic cash accrual -- self-funding growth rather than diluting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cap (Rs 13,602 Cr) already prices in much of the recent re-rating -- a 10x from here needs sustained, not just one-quarter, momentum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Recurring promoter block/bulk-deal sales are a watch-item even if not yet disqualifying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Inventory levels (250-300 days per community discussion) create earnings volatility risk if rosin/turpentine input prices swing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single trusted-roster user has staked a strong differentiated conviction call here -- the community signal is informational, not a high-conviction thesis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13,602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genuine, debt-free margin-expansion story with a real Givaudan JV catalyst, but size means the next leg needs sustained execution, not just one strong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Q3FY26's 76% PAT growth and margin expansion are real, not just optical, and the Prigiv/Givaudan JV is a genuine structural catalyst rather than a story stock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flag; debt-free with a cancelled QIP as a positive cash-generation signal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kept at Medium rather than High given the mid-cap size already reflects some re-rating, recurring promoter selling, and the absence of a strong trusted-roster conviction call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2026-08-23T16:11:21.758Z</dcterms:created>
  <dcterms:modified xsi:type="dcterms:W3CDTF">2026-08-23T16:11:21.766Z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