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Protean eGov Technologies Ltd</w:t>
      </w:r>
    </w:p>
    <w:p>
      <w:pPr>
        <w:pBdr>
          <w:bottom w:val="single" w:color="CCCCCC" w:sz="6" w:space="8"/>
        </w:pBdr>
        <w:spacing w:after="200"/>
      </w:pPr>
      <w:r>
        <w:rPr>
          <w:i/>
          <w:iCs/>
          <w:color w:val="666666"/>
          <w:sz w:val="22"/>
          <w:szCs w:val="22"/>
        </w:rPr>
        <w:t xml:space="preserve">Digital-public-infrastructure operator whose ONDC catalyst has stalled and whose PAN business (~50% of revenue) is under structural threat after losing the PAN 2.0 bid</w:t>
      </w:r>
    </w:p>
    <w:p>
      <w:pPr>
        <w:pStyle w:val="Heading1"/>
        <w:spacing w:after="120" w:before="280"/>
      </w:pPr>
      <w:r>
        <w:t xml:space="preserve">Business Overview</w:t>
      </w:r>
    </w:p>
    <w:p>
      <w:pPr>
        <w:spacing w:after="120"/>
      </w:pPr>
      <w:r>
        <w:t xml:space="preserve">Protean eGov (formerly NSDL e-Governance) operates digital public infrastructure for the Government of India: PAN card issuance (~50-56% of revenue), National Pension System / pension administration, digital identity, plus ONDC infrastructure, ProteanX and data/cloud/infosec services. It is almost debt-free with ~Rs 800 Cr cash.</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2,310 Cr</w:t>
            </w:r>
          </w:p>
        </w:tc>
      </w:tr>
      <w:tr>
        <w:tc>
          <w:tcPr>
            <w:tcW w:type="dxa" w:w="3200"/>
            <w:shd w:fill="F2F2F2" w:val="clear"/>
          </w:tcPr>
          <w:p>
            <w:r>
              <w:rPr>
                <w:b/>
                <w:bCs/>
              </w:rPr>
              <w:t xml:space="preserve">ROCE / ROE</w:t>
            </w:r>
          </w:p>
        </w:tc>
        <w:tc>
          <w:tcPr>
            <w:tcW w:type="dxa" w:w="5800"/>
          </w:tcPr>
          <w:p>
            <w:r>
              <w:t xml:space="preserve">~12.7% / ~10%</w:t>
            </w:r>
          </w:p>
        </w:tc>
      </w:tr>
      <w:tr>
        <w:tc>
          <w:tcPr>
            <w:tcW w:type="dxa" w:w="3200"/>
            <w:shd w:fill="F2F2F2" w:val="clear"/>
          </w:tcPr>
          <w:p>
            <w:r>
              <w:rPr>
                <w:b/>
                <w:bCs/>
              </w:rPr>
              <w:t xml:space="preserve">Revenue / PAT (FY25)</w:t>
            </w:r>
          </w:p>
        </w:tc>
        <w:tc>
          <w:tcPr>
            <w:tcW w:type="dxa" w:w="5800"/>
          </w:tcPr>
          <w:p>
            <w:r>
              <w:t xml:space="preserve">~Rs 841 Cr (-5% YoY) / ~Rs 92 Cr (-5%)</w:t>
            </w:r>
          </w:p>
        </w:tc>
      </w:tr>
      <w:tr>
        <w:tc>
          <w:tcPr>
            <w:tcW w:type="dxa" w:w="3200"/>
            <w:shd w:fill="F2F2F2" w:val="clear"/>
          </w:tcPr>
          <w:p>
            <w:r>
              <w:rPr>
                <w:b/>
                <w:bCs/>
              </w:rPr>
              <w:t xml:space="preserve">5-yr sales growth</w:t>
            </w:r>
          </w:p>
        </w:tc>
        <w:tc>
          <w:tcPr>
            <w:tcW w:type="dxa" w:w="5800"/>
          </w:tcPr>
          <w:p>
            <w:r>
              <w:t xml:space="preserve">~10.6% total (revenue CAGR ~3.2%, below industry)</w:t>
            </w:r>
          </w:p>
        </w:tc>
      </w:tr>
      <w:tr>
        <w:tc>
          <w:tcPr>
            <w:tcW w:type="dxa" w:w="3200"/>
            <w:shd w:fill="F2F2F2" w:val="clear"/>
          </w:tcPr>
          <w:p>
            <w:r>
              <w:rPr>
                <w:b/>
                <w:bCs/>
              </w:rPr>
              <w:t xml:space="preserve">52-week range</w:t>
            </w:r>
          </w:p>
        </w:tc>
        <w:tc>
          <w:tcPr>
            <w:tcW w:type="dxa" w:w="5800"/>
          </w:tcPr>
          <w:p>
            <w:r>
              <w:t xml:space="preserve">~Rs 444 - 946</w:t>
            </w:r>
          </w:p>
        </w:tc>
      </w:tr>
      <w:tr>
        <w:tc>
          <w:tcPr>
            <w:tcW w:type="dxa" w:w="3200"/>
            <w:shd w:fill="F2F2F2" w:val="clear"/>
          </w:tcPr>
          <w:p>
            <w:r>
              <w:rPr>
                <w:b/>
                <w:bCs/>
              </w:rPr>
              <w:t xml:space="preserve">Cash</w:t>
            </w:r>
          </w:p>
        </w:tc>
        <w:tc>
          <w:tcPr>
            <w:tcW w:type="dxa" w:w="5800"/>
          </w:tcPr>
          <w:p>
            <w:r>
              <w:t xml:space="preserve">~Rs 800+ Cr; dividend payout ~40%</w:t>
            </w:r>
          </w:p>
        </w:tc>
      </w:tr>
    </w:tbl>
    <w:p>
      <w:pPr>
        <w:spacing w:after="100"/>
      </w:pPr>
    </w:p>
    <w:p>
      <w:pPr>
        <w:spacing w:after="120"/>
      </w:pPr>
      <w:r>
        <w:t xml:space="preserve">Both the trailing record and the recent trend are weak: FY25 revenue, EBITDA and PAT each fell ~5%, and Q3 FY26 was described on the thread as 'another sorry result'. The bull catalyst -- ONDC -- has stalled, with retail volumes plateaued around 7 mn/month for over five months and management's own take now down to 8-10 bps of GMV (versus earlier hopes of 50-150 bps). A structural negative compounds this: Protean was eliminated from the Government's PAN 2.0 RFP (May 2025); PAN is ~50% of revenue and brokerages model a 35% FY27 revenue decline and a 75-100% erosion of the PAN stream over 2-3 years.</w:t>
      </w:r>
    </w:p>
    <w:p>
      <w:pPr>
        <w:pStyle w:val="Heading1"/>
        <w:spacing w:after="120" w:before="280"/>
      </w:pPr>
      <w:r>
        <w:t xml:space="preserve">Technical Read (Weekly / Monthly MACD + Bollinger Bands, or RSI/CCI/Williams %R proxy)</w:t>
      </w:r>
    </w:p>
    <w:p>
      <w:pPr>
        <w:spacing w:after="120"/>
      </w:pPr>
      <w:r>
        <w:t xml:space="preserve">Not pulled -- filtered on a weak trend and a negative catalyst. Stock roughly halved from its 52-week high.</w:t>
      </w:r>
    </w:p>
    <w:p>
      <w:pPr>
        <w:pStyle w:val="Heading1"/>
        <w:spacing w:after="120" w:before="280"/>
      </w:pPr>
      <w:r>
        <w:t xml:space="preserve">ValuePickr Community Signal</w:t>
      </w:r>
    </w:p>
    <w:p>
      <w:pPr>
        <w:spacing w:after="120"/>
      </w:pPr>
      <w:r>
        <w:t xml:space="preserve">Thread of 65 posts, 50 read. Sentiment is clearly sceptical/negative: recurring themes are 'narratives over fundamentals', ~80-92x P/E on declining earnings with 'no scope of re-rating', concentrated B2G client risk, key-management resignations, an NPS pricing revision due in FY27, and the PAN 2.0 loss. Bulls point to the DPI optionality (ONDC, ProteanX, digital document signing) and the cash pile, but even they concede there is no demonstrated tech moat.</w:t>
      </w:r>
    </w:p>
    <w:p>
      <w:pPr>
        <w:spacing w:after="120"/>
      </w:pPr>
      <w:r>
        <w:rPr>
          <w:b/>
          <w:bCs/>
          <w:sz w:val="20"/>
          <w:szCs w:val="20"/>
        </w:rPr>
        <w:t xml:space="preserve">High-conviction call from a top contributor: </w:t>
      </w:r>
      <w:r>
        <w:rPr>
          <w:sz w:val="20"/>
          <w:szCs w:val="20"/>
        </w:rPr>
        <w:t xml:space="preserve">Multiple trusted (elevated) users are engaged and none are positive: Satishwe called the PAN 2.0 exit a 'big negative'; Swadesh9819 and Jadewade both flagged the ~50%-of-revenue exposure and loss of free cash flow; StonePitbull, Arka and vikasbargale posted informational/neutral updates ('not invested'). No trusted buy conviction.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2025-05-20 — Jadewade</w:t>
      </w:r>
      <w:r>
        <w:rPr>
          <w:i/>
          <w:iCs/>
          <w:color w:val="666666"/>
          <w:sz w:val="18"/>
          <w:szCs w:val="18"/>
        </w:rPr>
        <w:t xml:space="preserve"> (Protean eGov Technologies Ltd)</w:t>
      </w:r>
      <w:r>
        <w:rPr>
          <w:sz w:val="20"/>
          <w:szCs w:val="20"/>
        </w:rPr>
        <w:br/>
        <w:t xml:space="preserve">: NEGATIVE -- loss of free cash flow; ONDC volumes plateaued ~7 mn/month; downside risk to FY27 revenue</w:t>
      </w:r>
    </w:p>
    <w:p>
      <w:pPr>
        <w:spacing w:after="100"/>
      </w:pPr>
      <w:r>
        <w:rPr>
          <w:b/>
          <w:bCs/>
          <w:sz w:val="20"/>
          <w:szCs w:val="20"/>
        </w:rPr>
        <w:t xml:space="preserve">2025-05-19 — Satishwe</w:t>
      </w:r>
      <w:r>
        <w:rPr>
          <w:i/>
          <w:iCs/>
          <w:color w:val="666666"/>
          <w:sz w:val="18"/>
          <w:szCs w:val="18"/>
        </w:rPr>
        <w:t xml:space="preserve"> (Protean eGov Technologies Ltd)</w:t>
      </w:r>
      <w:r>
        <w:rPr>
          <w:sz w:val="20"/>
          <w:szCs w:val="20"/>
        </w:rPr>
        <w:br/>
        <w:t xml:space="preserve">: NEGATIVE -- 'Big negative': out of the PAN 2.0 race; PAN is ~50% of revenue; expects a 35% FY27 revenue decline</w:t>
      </w:r>
    </w:p>
    <w:p>
      <w:pPr>
        <w:pStyle w:val="Heading1"/>
        <w:spacing w:after="120" w:before="280"/>
      </w:pPr>
      <w:r>
        <w:t xml:space="preserve">BSE Corporate Actions / Other Red Flags</w:t>
      </w:r>
    </w:p>
    <w:p>
      <w:pPr>
        <w:spacing w:after="120"/>
      </w:pPr>
      <w:r>
        <w:t xml:space="preserve">No corporate-action red flag. Concerns raised on the thread: concentrated government-client dependence, several key-management departures, and an OFS by NSE Investments (floor Rs 1,550) in late 2024.</w:t>
      </w:r>
    </w:p>
    <w:p>
      <w:pPr>
        <w:pStyle w:val="Heading1"/>
        <w:spacing w:after="120" w:before="280"/>
      </w:pPr>
      <w:r>
        <w:t xml:space="preserve">Bull Case</w:t>
      </w:r>
    </w:p>
    <w:p>
      <w:pPr>
        <w:pStyle w:val="ListParagraph"/>
        <w:numPr>
          <w:ilvl w:val="0"/>
          <w:numId w:val="1"/>
        </w:numPr>
        <w:spacing w:after="60"/>
      </w:pPr>
      <w:r>
        <w:t xml:space="preserve">Almost debt-free with ~Rs 800+ Cr cash and a ~40% dividend payout</w:t>
      </w:r>
    </w:p>
    <w:p>
      <w:pPr>
        <w:pStyle w:val="ListParagraph"/>
        <w:numPr>
          <w:ilvl w:val="0"/>
          <w:numId w:val="1"/>
        </w:numPr>
        <w:spacing w:after="60"/>
      </w:pPr>
      <w:r>
        <w:t xml:space="preserve">Owns/operates genuine digital public infrastructure across tax, pension and identity</w:t>
      </w:r>
    </w:p>
    <w:p>
      <w:pPr>
        <w:pStyle w:val="ListParagraph"/>
        <w:numPr>
          <w:ilvl w:val="0"/>
          <w:numId w:val="1"/>
        </w:numPr>
        <w:spacing w:after="60"/>
      </w:pPr>
      <w:r>
        <w:t xml:space="preserve">Optionality from ONDC, ProteanX and blockchain-based document signing if any of them scales</w:t>
      </w:r>
    </w:p>
    <w:p>
      <w:pPr>
        <w:pStyle w:val="ListParagraph"/>
        <w:numPr>
          <w:ilvl w:val="0"/>
          <w:numId w:val="1"/>
        </w:numPr>
        <w:spacing w:after="60"/>
      </w:pPr>
      <w:r>
        <w:t xml:space="preserve">Large structural headroom in pension penetration (~6% vs much higher in developed markets)</w:t>
      </w:r>
    </w:p>
    <w:p>
      <w:pPr>
        <w:pStyle w:val="Heading1"/>
        <w:spacing w:after="120" w:before="280"/>
      </w:pPr>
      <w:r>
        <w:t xml:space="preserve">Bear Case / Key Risks</w:t>
      </w:r>
    </w:p>
    <w:p>
      <w:pPr>
        <w:pStyle w:val="ListParagraph"/>
        <w:numPr>
          <w:ilvl w:val="0"/>
          <w:numId w:val="1"/>
        </w:numPr>
        <w:spacing w:after="60"/>
      </w:pPr>
      <w:r>
        <w:t xml:space="preserve">Lost the PAN 2.0 bid -- PAN is ~50% of revenue; brokerages model a 35% FY27 revenue decline and a 75-100% multi-year erosion of the PAN stream</w:t>
      </w:r>
    </w:p>
    <w:p>
      <w:pPr>
        <w:pStyle w:val="ListParagraph"/>
        <w:numPr>
          <w:ilvl w:val="0"/>
          <w:numId w:val="1"/>
        </w:numPr>
        <w:spacing w:after="60"/>
      </w:pPr>
      <w:r>
        <w:t xml:space="preserve">ONDC, the core bull catalyst, has stalled -- volumes flat ~7 mn/month, management guidance cut to 8-10 bps of GMV</w:t>
      </w:r>
    </w:p>
    <w:p>
      <w:pPr>
        <w:pStyle w:val="ListParagraph"/>
        <w:numPr>
          <w:ilvl w:val="0"/>
          <w:numId w:val="1"/>
        </w:numPr>
        <w:spacing w:after="60"/>
      </w:pPr>
      <w:r>
        <w:t xml:space="preserve">FY25 revenue/EBITDA/PAT all -5%; Q3 FY26 weak again; 5-yr revenue CAGR only ~3%</w:t>
      </w:r>
    </w:p>
    <w:p>
      <w:pPr>
        <w:pStyle w:val="ListParagraph"/>
        <w:numPr>
          <w:ilvl w:val="0"/>
          <w:numId w:val="1"/>
        </w:numPr>
        <w:spacing w:after="60"/>
      </w:pPr>
      <w:r>
        <w:t xml:space="preserve">~80-92x P/E on falling earnings with little re-rating scope; concentrated B2G client and regulatory risk</w:t>
      </w:r>
    </w:p>
    <w:p>
      <w:pPr>
        <w:pStyle w:val="ListParagraph"/>
        <w:numPr>
          <w:ilvl w:val="0"/>
          <w:numId w:val="1"/>
        </w:numPr>
        <w:spacing w:after="60"/>
      </w:pPr>
      <w:r>
        <w:t xml:space="preserve">No demonstrated technology moat; key-management attrition</w:t>
      </w:r>
    </w:p>
    <w:p>
      <w:pPr>
        <w:pStyle w:val="Heading1"/>
        <w:spacing w:after="120" w:before="280"/>
      </w:pPr>
      <w:r>
        <w:t xml:space="preserve">Market-Cap Tier (informational — not a gate in this project)</w:t>
      </w:r>
    </w:p>
    <w:p>
      <w:pPr>
        <w:spacing w:after="120"/>
      </w:pPr>
      <w:r>
        <w:rPr>
          <w:b/>
          <w:bCs/>
        </w:rPr>
        <w:t xml:space="preserve">Small-cap (~Rs 2,310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digital-infrastructure operator whose growth catalyst has stalled and whose core PAN business faces structural erosion after the PAN 2.0 loss -- filtered out</w:t>
      </w:r>
    </w:p>
    <w:p>
      <w:pPr>
        <w:pStyle w:val="ListParagraph"/>
        <w:numPr>
          <w:ilvl w:val="0"/>
          <w:numId w:val="1"/>
        </w:numPr>
        <w:spacing w:after="60"/>
      </w:pPr>
      <w:r>
        <w:t xml:space="preserve">Both trailing and recent trends are weak and the key catalyst (ONDC) has stalled, while a structural negative (PAN 2.0 loss) threatens ~50% of revenue -- the inflection here is downward, so the small-cap recent-catalyst carve-out does not apply</w:t>
      </w:r>
    </w:p>
    <w:p>
      <w:pPr>
        <w:pStyle w:val="ListParagraph"/>
        <w:numPr>
          <w:ilvl w:val="0"/>
          <w:numId w:val="1"/>
        </w:numPr>
        <w:spacing w:after="60"/>
      </w:pPr>
      <w:r>
        <w:t xml:space="preserve">Every engaged trusted user is neutral-to-negative; no buy conviction exists</w:t>
      </w:r>
    </w:p>
    <w:p>
      <w:pPr>
        <w:pStyle w:val="ListParagraph"/>
        <w:numPr>
          <w:ilvl w:val="0"/>
          <w:numId w:val="1"/>
        </w:numPr>
        <w:spacing w:after="60"/>
      </w:pPr>
      <w:r>
        <w:t xml:space="preserve">Thesis fit 'neither', conviction Low. No red-flag tier (going concern, ~Rs 800 Cr cash). No revisit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2026-08-27T16:50:30.757Z</dcterms:created>
  <dcterms:modified xsi:type="dcterms:W3CDTF">2026-08-27T16:50:30.758Z</dcterms:modified>
</cp:coreProperties>
</file>

<file path=docProps/custom.xml><?xml version="1.0" encoding="utf-8"?>
<Properties xmlns="http://schemas.openxmlformats.org/officeDocument/2006/custom-properties" xmlns:vt="http://schemas.openxmlformats.org/officeDocument/2006/docPropsVTypes"/>
</file>