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Punjab Chemicals &amp; Crop Protection Ltd</w:t>
      </w:r>
    </w:p>
    <w:p>
      <w:pPr>
        <w:pBdr>
          <w:bottom w:val="single" w:color="CCCCCC" w:sz="6" w:space="8"/>
        </w:pBdr>
        <w:spacing w:after="200"/>
      </w:pPr>
      <w:r>
        <w:rPr>
          <w:i/>
          <w:iCs/>
          <w:color w:val="666666"/>
          <w:sz w:val="22"/>
          <w:szCs w:val="22"/>
        </w:rPr>
        <w:t xml:space="preserve">Agrochemical CRAMS/specialty-chemical maker emerging from a 3-year sector downcycle, with new MOU-based capacity as the next catalyst</w:t>
      </w:r>
    </w:p>
    <w:p>
      <w:pPr>
        <w:pStyle w:val="Heading1"/>
        <w:spacing w:after="120" w:before="280"/>
      </w:pPr>
      <w:r>
        <w:t xml:space="preserve">Business Overview</w:t>
      </w:r>
    </w:p>
    <w:p>
      <w:pPr>
        <w:spacing w:after="120"/>
      </w:pPr>
      <w:r>
        <w:t xml:space="preserve">Contract manufacturer (CRAMS) of agrochemical active ingredients and specialty/industrial chemicals (including food-grade phosphoric acid supplied to Pepsi/Coca-Cola), with UPL as its largest customer. Top-2 customers account for roughly 55% of sales.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1,358 Cr</w:t>
            </w:r>
          </w:p>
        </w:tc>
      </w:tr>
      <w:tr>
        <w:tc>
          <w:tcPr>
            <w:tcW w:type="dxa" w:w="3200"/>
            <w:shd w:fill="F2F2F2" w:val="clear"/>
          </w:tcPr>
          <w:p>
            <w:r>
              <w:rPr>
                <w:b/>
                <w:bCs/>
              </w:rPr>
              <w:t xml:space="preserve">ROCE</w:t>
            </w:r>
          </w:p>
        </w:tc>
        <w:tc>
          <w:tcPr>
            <w:tcW w:type="dxa" w:w="5800"/>
          </w:tcPr>
          <w:p>
            <w:r>
              <w:t xml:space="preserve">30.9%</w:t>
            </w:r>
          </w:p>
        </w:tc>
      </w:tr>
      <w:tr>
        <w:tc>
          <w:tcPr>
            <w:tcW w:type="dxa" w:w="3200"/>
            <w:shd w:fill="F2F2F2" w:val="clear"/>
          </w:tcPr>
          <w:p>
            <w:r>
              <w:rPr>
                <w:b/>
                <w:bCs/>
              </w:rPr>
              <w:t xml:space="preserve">ROE</w:t>
            </w:r>
          </w:p>
        </w:tc>
        <w:tc>
          <w:tcPr>
            <w:tcW w:type="dxa" w:w="5800"/>
          </w:tcPr>
          <w:p>
            <w:r>
              <w:t xml:space="preserve">24.2%</w:t>
            </w:r>
          </w:p>
        </w:tc>
      </w:tr>
      <w:tr>
        <w:tc>
          <w:tcPr>
            <w:tcW w:type="dxa" w:w="3200"/>
            <w:shd w:fill="F2F2F2" w:val="clear"/>
          </w:tcPr>
          <w:p>
            <w:r>
              <w:rPr>
                <w:b/>
                <w:bCs/>
              </w:rPr>
              <w:t xml:space="preserve">Debt</w:t>
            </w:r>
          </w:p>
        </w:tc>
        <w:tc>
          <w:tcPr>
            <w:tcW w:type="dxa" w:w="5800"/>
          </w:tcPr>
          <w:p>
            <w:r>
              <w:t xml:space="preserve">Rs 94 Cr (low)</w:t>
            </w:r>
          </w:p>
        </w:tc>
      </w:tr>
      <w:tr>
        <w:tc>
          <w:tcPr>
            <w:tcW w:type="dxa" w:w="3200"/>
            <w:shd w:fill="F2F2F2" w:val="clear"/>
          </w:tcPr>
          <w:p>
            <w:r>
              <w:rPr>
                <w:b/>
                <w:bCs/>
              </w:rPr>
              <w:t xml:space="preserve">Revenue growth</w:t>
            </w:r>
          </w:p>
        </w:tc>
        <w:tc>
          <w:tcPr>
            <w:tcW w:type="dxa" w:w="5800"/>
          </w:tcPr>
          <w:p>
            <w:r>
              <w:t xml:space="preserve">5yr CAGR 8.71% (weak); FY26 revenue +15.7% to Rs 1,043 Cr</w:t>
            </w:r>
          </w:p>
        </w:tc>
      </w:tr>
      <w:tr>
        <w:tc>
          <w:tcPr>
            <w:tcW w:type="dxa" w:w="3200"/>
            <w:shd w:fill="F2F2F2" w:val="clear"/>
          </w:tcPr>
          <w:p>
            <w:r>
              <w:rPr>
                <w:b/>
                <w:bCs/>
              </w:rPr>
              <w:t xml:space="preserve">52-week range</w:t>
            </w:r>
          </w:p>
        </w:tc>
        <w:tc>
          <w:tcPr>
            <w:tcW w:type="dxa" w:w="5800"/>
          </w:tcPr>
          <w:p>
            <w:r>
              <w:t xml:space="preserve">Rs 669.55 - 1,664.95</w:t>
            </w:r>
          </w:p>
        </w:tc>
      </w:tr>
    </w:tbl>
    <w:p>
      <w:pPr>
        <w:spacing w:after="100"/>
      </w:pPr>
    </w:p>
    <w:p>
      <w:pPr>
        <w:spacing w:after="120"/>
      </w:pPr>
      <w:r>
        <w:t xml:space="preserve">Strong current ROCE/ROE maintained despite a multi-year (FY23-FY25) agrochem down-cycle driven by Chinese oversupply/destocking that repeatedly hit EPS. FY26 shows the first genuine volume/price recovery (+15.7% revenue), and the company held gross margins better than most listed agrochem peers throughout the downturn.</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most recent 50 of 87 posts (Aug 2022 to Jan 2026), covering the entire multi-year agrochem downcycle narrated in near-real-time. Thread has gone quiet since Jan 2026 (7 months, no fresh posts).</w:t>
      </w:r>
    </w:p>
    <w:p>
      <w:pPr>
        <w:spacing w:after="120"/>
      </w:pPr>
      <w:r>
        <w:rPr>
          <w:b/>
          <w:bCs/>
          <w:sz w:val="20"/>
          <w:szCs w:val="20"/>
        </w:rPr>
        <w:t xml:space="preserve">High-conviction call from a top contributor: </w:t>
      </w:r>
      <w:r>
        <w:rPr>
          <w:sz w:val="20"/>
          <w:szCs w:val="20"/>
        </w:rPr>
        <w:t xml:space="preserve">harsh.beria93 (trusted, elevated) is essentially the sole sustained tracker of this thread across 4+ years of detailed quarterly concall notes, consistently framing Punjab as more resilient than agrochem peers (Astec, Sharda, Rallis, NACL) through the downcycle, though no explicit 'invested' disclosure was captured in the batch read. Worldlywiseinvestors (trusted, 2023) flagged early that agrochem restocking risk mirrored what hit API names. Most recent post (#87, Jan 2026, FY26Q1 notes) reports 3 exclusive MOUs signed with international agrichemical customers and Rs 60 Cr capex for 2 new production blocks targeting Rs 120-150 Cr incremental revenue by FY27Q3 commercialization.</w:t>
      </w:r>
    </w:p>
    <w:p>
      <w:pPr>
        <w:pStyle w:val="Heading1"/>
        <w:spacing w:after="120" w:before="280"/>
      </w:pPr>
      <w:r>
        <w:t xml:space="preserve">BSE Corporate Actions / Other Red Flags</w:t>
      </w:r>
    </w:p>
    <w:p>
      <w:pPr>
        <w:spacing w:after="120"/>
      </w:pPr>
      <w:r>
        <w:t xml:space="preserve">Not checked.</w:t>
      </w:r>
    </w:p>
    <w:p>
      <w:pPr>
        <w:pStyle w:val="Heading1"/>
        <w:spacing w:after="120" w:before="280"/>
      </w:pPr>
      <w:r>
        <w:t xml:space="preserve">Bull Case</w:t>
      </w:r>
    </w:p>
    <w:p>
      <w:pPr>
        <w:pStyle w:val="ListParagraph"/>
        <w:numPr>
          <w:ilvl w:val="0"/>
          <w:numId w:val="1"/>
        </w:numPr>
        <w:spacing w:after="60"/>
      </w:pPr>
      <w:r>
        <w:t xml:space="preserve">ROCE 30.9% / ROE 24.2% maintained even through a brutal 3-year sector downcycle - genuine capital efficiency, not cyclical illusion</w:t>
      </w:r>
    </w:p>
    <w:p>
      <w:pPr>
        <w:pStyle w:val="ListParagraph"/>
        <w:numPr>
          <w:ilvl w:val="0"/>
          <w:numId w:val="1"/>
        </w:numPr>
        <w:spacing w:after="60"/>
      </w:pPr>
      <w:r>
        <w:t xml:space="preserve">Gross margins held up better than agrochem peers throughout Chinese-dumping-driven destocking (2022-2025), suggesting real product differentiation in its specific molecule basket</w:t>
      </w:r>
    </w:p>
    <w:p>
      <w:pPr>
        <w:pStyle w:val="ListParagraph"/>
        <w:numPr>
          <w:ilvl w:val="0"/>
          <w:numId w:val="1"/>
        </w:numPr>
        <w:spacing w:after="60"/>
      </w:pPr>
      <w:r>
        <w:t xml:space="preserve">FY26 shows the first clean recovery quarter (+15.7% revenue) after years of decline</w:t>
      </w:r>
    </w:p>
    <w:p>
      <w:pPr>
        <w:pStyle w:val="ListParagraph"/>
        <w:numPr>
          <w:ilvl w:val="0"/>
          <w:numId w:val="1"/>
        </w:numPr>
        <w:spacing w:after="60"/>
      </w:pPr>
      <w:r>
        <w:t xml:space="preserve">3 new exclusive MOUs signed (FY26Q1) for agrichemical intermediates, Rs 60 Cr capex adding Rs 120-150 Cr revenue potential by FY27Q3 - modest in scale (~15% of current base) but specific and management-confirmed</w:t>
      </w:r>
    </w:p>
    <w:p>
      <w:pPr>
        <w:pStyle w:val="Heading1"/>
        <w:spacing w:after="120" w:before="280"/>
      </w:pPr>
      <w:r>
        <w:t xml:space="preserve">Bear Case / Key Risks</w:t>
      </w:r>
    </w:p>
    <w:p>
      <w:pPr>
        <w:pStyle w:val="ListParagraph"/>
        <w:numPr>
          <w:ilvl w:val="0"/>
          <w:numId w:val="1"/>
        </w:numPr>
        <w:spacing w:after="60"/>
      </w:pPr>
      <w:r>
        <w:t xml:space="preserve">5yr trailing sales CAGR of only 8.71%, with EPS declining in most quarters from FY23 through FY25 - this is a cyclical recovery bet, not a proven structural grower</w:t>
      </w:r>
    </w:p>
    <w:p>
      <w:pPr>
        <w:pStyle w:val="ListParagraph"/>
        <w:numPr>
          <w:ilvl w:val="0"/>
          <w:numId w:val="1"/>
        </w:numPr>
        <w:spacing w:after="60"/>
      </w:pPr>
      <w:r>
        <w:t xml:space="preserve">Client concentration risk: top-2 customers ~55% of sales, with a major contract lost in FY23 due to registration issues</w:t>
      </w:r>
    </w:p>
    <w:p>
      <w:pPr>
        <w:pStyle w:val="ListParagraph"/>
        <w:numPr>
          <w:ilvl w:val="0"/>
          <w:numId w:val="1"/>
        </w:numPr>
        <w:spacing w:after="60"/>
      </w:pPr>
      <w:r>
        <w:t xml:space="preserve">Thread has gone quiet since Jan 2026 (7 months, no fresh community validation of whether the recovery is sustaining)</w:t>
      </w:r>
    </w:p>
    <w:p>
      <w:pPr>
        <w:pStyle w:val="ListParagraph"/>
        <w:numPr>
          <w:ilvl w:val="0"/>
          <w:numId w:val="1"/>
        </w:numPr>
        <w:spacing w:after="60"/>
      </w:pPr>
      <w:r>
        <w:t xml:space="preserve">Management's own revenue targets have repeatedly slipped (Rs 1,500 Cr target pushed from FY24 to FY25 to unspecified) - execution credibility is mixed</w:t>
      </w:r>
    </w:p>
    <w:p>
      <w:pPr>
        <w:pStyle w:val="Heading1"/>
        <w:spacing w:after="120" w:before="280"/>
      </w:pPr>
      <w:r>
        <w:t xml:space="preserve">Market-Cap Tier (informational — not a gate in this project)</w:t>
      </w:r>
    </w:p>
    <w:p>
      <w:pPr>
        <w:spacing w:after="120"/>
      </w:pPr>
      <w:r>
        <w:rPr>
          <w:b/>
          <w:bCs/>
        </w:rPr>
        <w:t xml:space="preserve">Small-cap (~Rs 1,358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A capital-efficiency survivor of a brutal agrochem downcycle, now showing its first real recovery quarter - but the next catalyst is modest and management's growth targets have a history of slipping</w:t>
      </w:r>
    </w:p>
    <w:p>
      <w:pPr>
        <w:pStyle w:val="ListParagraph"/>
        <w:numPr>
          <w:ilvl w:val="0"/>
          <w:numId w:val="1"/>
        </w:numPr>
        <w:spacing w:after="60"/>
      </w:pPr>
      <w:r>
        <w:t xml:space="preserve">Strong ROCE/ROE sustained through the cycle is the real signal here, not the trailing growth average</w:t>
      </w:r>
    </w:p>
    <w:p>
      <w:pPr>
        <w:pStyle w:val="ListParagraph"/>
        <w:numPr>
          <w:ilvl w:val="0"/>
          <w:numId w:val="1"/>
        </w:numPr>
        <w:spacing w:after="60"/>
      </w:pPr>
      <w:r>
        <w:t xml:space="preserve">FY26's +15.7% revenue growth plus 3 new MOUs/capacity blocks is a specific, credible (if modest-scale) catalyst, consistent with weighting recent-quarter inflection over trailing average for a small-cap cyclical</w:t>
      </w:r>
    </w:p>
    <w:p>
      <w:pPr>
        <w:pStyle w:val="ListParagraph"/>
        <w:numPr>
          <w:ilvl w:val="0"/>
          <w:numId w:val="1"/>
        </w:numPr>
        <w:spacing w:after="60"/>
      </w:pPr>
      <w:r>
        <w:t xml:space="preserve">Repeated guidance slippage and a 7-month-quiet thread mean conviction should stay moderate until 2-3 more quarters confirm the recovery is durable, not another false start like FY24's aborted rebound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2026-08-23T15:39:06.159Z</dcterms:created>
  <dcterms:modified xsi:type="dcterms:W3CDTF">2026-08-23T15:39:06.164Z</dcterms:modified>
</cp:coreProperties>
</file>

<file path=docProps/custom.xml><?xml version="1.0" encoding="utf-8"?>
<Properties xmlns="http://schemas.openxmlformats.org/officeDocument/2006/custom-properties" xmlns:vt="http://schemas.openxmlformats.org/officeDocument/2006/docPropsVTypes"/>
</file>