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RPG Life Sciences Ltd</w:t>
      </w:r>
    </w:p>
    <w:p>
      <w:pPr>
        <w:pBdr>
          <w:bottom w:val="single" w:color="CCCCCC" w:sz="6" w:space="8"/>
        </w:pBdr>
        <w:spacing w:after="200"/>
      </w:pPr>
      <w:r>
        <w:rPr>
          <w:i/>
          <w:iCs/>
          <w:color w:val="666666"/>
          <w:sz w:val="22"/>
          <w:szCs w:val="22"/>
        </w:rPr>
        <w:t xml:space="preserve">Quietly-compounding branded generics and API pharma player from the RPG Group with strong margin expansion</w:t>
      </w:r>
    </w:p>
    <w:p>
      <w:pPr>
        <w:pStyle w:val="Heading1"/>
        <w:spacing w:after="120" w:before="280"/>
      </w:pPr>
      <w:r>
        <w:t xml:space="preserve">Business Overview</w:t>
      </w:r>
    </w:p>
    <w:p>
      <w:pPr>
        <w:spacing w:after="120"/>
      </w:pPr>
      <w:r>
        <w:t xml:space="preserve">RPG Life Sciences manufactures branded formulations, global generics, and synthetic APIs across three plants, part of the RPG Group. It has been steadily expanding EBITDA margins on the back of operating leverage and product mix improvements over the last several years.</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4,402 Cr</w:t>
            </w:r>
          </w:p>
        </w:tc>
      </w:tr>
      <w:tr>
        <w:tc>
          <w:tcPr>
            <w:tcW w:type="dxa" w:w="3200"/>
            <w:shd w:fill="F2F2F2" w:val="clear"/>
          </w:tcPr>
          <w:p>
            <w:r>
              <w:rPr>
                <w:b/>
                <w:bCs/>
              </w:rPr>
              <w:t xml:space="preserve">Price / 52-week range</w:t>
            </w:r>
          </w:p>
        </w:tc>
        <w:tc>
          <w:tcPr>
            <w:tcW w:type="dxa" w:w="5800"/>
          </w:tcPr>
          <w:p>
            <w:r>
              <w:t xml:space="preserve">Rs 2,661 (range Rs 1,731 - Rs 3,082)</w:t>
            </w:r>
          </w:p>
        </w:tc>
      </w:tr>
      <w:tr>
        <w:tc>
          <w:tcPr>
            <w:tcW w:type="dxa" w:w="3200"/>
            <w:shd w:fill="F2F2F2" w:val="clear"/>
          </w:tcPr>
          <w:p>
            <w:r>
              <w:rPr>
                <w:b/>
                <w:bCs/>
              </w:rPr>
              <w:t xml:space="preserve">ROCE</w:t>
            </w:r>
          </w:p>
        </w:tc>
        <w:tc>
          <w:tcPr>
            <w:tcW w:type="dxa" w:w="5800"/>
          </w:tcPr>
          <w:p>
            <w:r>
              <w:t xml:space="preserve">25.7%</w:t>
            </w:r>
          </w:p>
        </w:tc>
      </w:tr>
      <w:tr>
        <w:tc>
          <w:tcPr>
            <w:tcW w:type="dxa" w:w="3200"/>
            <w:shd w:fill="F2F2F2" w:val="clear"/>
          </w:tcPr>
          <w:p>
            <w:r>
              <w:rPr>
                <w:b/>
                <w:bCs/>
              </w:rPr>
              <w:t xml:space="preserve">ROE</w:t>
            </w:r>
          </w:p>
        </w:tc>
        <w:tc>
          <w:tcPr>
            <w:tcW w:type="dxa" w:w="5800"/>
          </w:tcPr>
          <w:p>
            <w:r>
              <w:t xml:space="preserve">19.3%</w:t>
            </w:r>
          </w:p>
        </w:tc>
      </w:tr>
      <w:tr>
        <w:tc>
          <w:tcPr>
            <w:tcW w:type="dxa" w:w="3200"/>
            <w:shd w:fill="F2F2F2" w:val="clear"/>
          </w:tcPr>
          <w:p>
            <w:r>
              <w:rPr>
                <w:b/>
                <w:bCs/>
              </w:rPr>
              <w:t xml:space="preserve">Revenue CAGR</w:t>
            </w:r>
          </w:p>
        </w:tc>
        <w:tc>
          <w:tcPr>
            <w:tcW w:type="dxa" w:w="5800"/>
          </w:tcPr>
          <w:p>
            <w:r>
              <w:t xml:space="preserve">11.71% (vs industry median 5.35%)</w:t>
            </w:r>
          </w:p>
        </w:tc>
      </w:tr>
      <w:tr>
        <w:tc>
          <w:tcPr>
            <w:tcW w:type="dxa" w:w="3200"/>
            <w:shd w:fill="F2F2F2" w:val="clear"/>
          </w:tcPr>
          <w:p>
            <w:r>
              <w:rPr>
                <w:b/>
                <w:bCs/>
              </w:rPr>
              <w:t xml:space="preserve">Debt</w:t>
            </w:r>
          </w:p>
        </w:tc>
        <w:tc>
          <w:tcPr>
            <w:tcW w:type="dxa" w:w="5800"/>
          </w:tcPr>
          <w:p>
            <w:r>
              <w:t xml:space="preserve">Almost debt-free</w:t>
            </w:r>
          </w:p>
        </w:tc>
      </w:tr>
      <w:tr>
        <w:tc>
          <w:tcPr>
            <w:tcW w:type="dxa" w:w="3200"/>
            <w:shd w:fill="F2F2F2" w:val="clear"/>
          </w:tcPr>
          <w:p>
            <w:r>
              <w:rPr>
                <w:b/>
                <w:bCs/>
              </w:rPr>
              <w:t xml:space="preserve">Dividend payout</w:t>
            </w:r>
          </w:p>
        </w:tc>
        <w:tc>
          <w:tcPr>
            <w:tcW w:type="dxa" w:w="5800"/>
          </w:tcPr>
          <w:p>
            <w:r>
              <w:t xml:space="preserve">28.8%</w:t>
            </w:r>
          </w:p>
        </w:tc>
      </w:tr>
      <w:tr>
        <w:tc>
          <w:tcPr>
            <w:tcW w:type="dxa" w:w="3200"/>
            <w:shd w:fill="F2F2F2" w:val="clear"/>
          </w:tcPr>
          <w:p>
            <w:r>
              <w:rPr>
                <w:b/>
                <w:bCs/>
              </w:rPr>
              <w:t xml:space="preserve">Valuation</w:t>
            </w:r>
          </w:p>
        </w:tc>
        <w:tc>
          <w:tcPr>
            <w:tcW w:type="dxa" w:w="5800"/>
          </w:tcPr>
          <w:p>
            <w:r>
              <w:t xml:space="preserve">7.27x book value</w:t>
            </w:r>
          </w:p>
        </w:tc>
      </w:tr>
    </w:tbl>
    <w:p>
      <w:pPr>
        <w:spacing w:after="100"/>
      </w:pPr>
    </w:p>
    <w:p>
      <w:pPr>
        <w:spacing w:after="120"/>
      </w:pPr>
      <w:r>
        <w:t xml:space="preserve">Strong capital efficiency (ROCE 25.7%, ROE 19.3%) with a debt-free balance sheet and revenue growth well ahead of the industry median. Quarterly concall updates tracked on the forum (via user ranvir) show a consistent multi-year pattern of double-digit EBITDA and PAT growth with expanding margins, though the most recent Q2 FY26 update showed a rare YoY dip (EBITDA -9%, PAT -10%) after a long run of beats.</w:t>
      </w:r>
    </w:p>
    <w:p>
      <w:pPr>
        <w:pStyle w:val="Heading1"/>
        <w:spacing w:after="120" w:before="280"/>
      </w:pPr>
      <w:r>
        <w:t xml:space="preserve">Technical Read (Weekly / Monthly MACD + Bollinger Bands, or RSI/CCI/Williams %R proxy)</w:t>
      </w:r>
    </w:p>
    <w:p>
      <w:pPr>
        <w:spacing w:after="120"/>
      </w:pPr>
      <w:r>
        <w:t xml:space="preserve">Trading well off its 52-week high (Rs 3,082) at current levels near Rs 2,661, having pulled back from the top of a multi-year re-rating run.</w:t>
      </w:r>
    </w:p>
    <w:p>
      <w:pPr>
        <w:pStyle w:val="Heading1"/>
        <w:spacing w:after="120" w:before="280"/>
      </w:pPr>
      <w:r>
        <w:t xml:space="preserve">ValuePickr Community Signal</w:t>
      </w:r>
    </w:p>
    <w:p>
      <w:pPr>
        <w:spacing w:after="120"/>
      </w:pPr>
      <w:r>
        <w:t xml:space="preserve">Read the most recent 50 of 58 posts (single batch, no escalation needed — thread already showed a clear, consistent long-run trend). Steady positive sentiment for years, driven by consistent quarterly results tracking from user ranvir (5-12 loves per update) and management-quality commentary. One post (Jubin_Jacob) flagged historical management-change and quality concerns dating back to 2015 as a lingering watch item.</w:t>
      </w:r>
    </w:p>
    <w:p>
      <w:pPr>
        <w:spacing w:after="120"/>
      </w:pPr>
      <w:r>
        <w:rPr>
          <w:b/>
          <w:bCs/>
          <w:sz w:val="20"/>
          <w:szCs w:val="20"/>
        </w:rPr>
        <w:t xml:space="preserve">High-conviction call from a top contributor: </w:t>
      </w:r>
      <w:r>
        <w:rPr>
          <w:sz w:val="20"/>
          <w:szCs w:val="20"/>
        </w:rPr>
        <w:t xml:space="preserve">No trusted-user (phreakv6) posts found in this thread. Highest-signal recurring poster is ranvir, consistently logging quarterly result summaries with solid love counts (5-12) — informative/tracking in nature rather than an explicit high-conviction position call.</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2026-08-30 — unseenvalue (X)</w:t>
      </w:r>
      <w:r>
        <w:rPr>
          <w:i/>
          <w:iCs/>
          <w:color w:val="666666"/>
          <w:sz w:val="18"/>
          <w:szCs w:val="18"/>
        </w:rPr>
        <w:t xml:space="preserve"> (X / @unseenvalue)</w:t>
      </w:r>
      <w:r>
        <w:rPr>
          <w:sz w:val="20"/>
          <w:szCs w:val="20"/>
        </w:rPr>
        <w:br/>
        <w:t xml:space="preserve">: Bullish 'Santaap 2010 -&gt; Kantaap 2026' arc: 2010 losses to 2026 high margins, CDMO traction, superior ROCE, lean balance sheet; disclosed holding ('Mere paas Maa RPG Life hai').</w:t>
      </w:r>
    </w:p>
    <w:p>
      <w:pPr>
        <w:pStyle w:val="Heading1"/>
        <w:spacing w:after="120" w:before="280"/>
      </w:pPr>
      <w:r>
        <w:t xml:space="preserve">BSE Corporate Actions / Other Red Flags</w:t>
      </w:r>
    </w:p>
    <w:p>
      <w:pPr>
        <w:spacing w:after="120"/>
      </w:pPr>
      <w:r>
        <w:t xml:space="preserve">No SEBI/regulatory action found. Promoter/management stability has been a recurring but manageable community watch-item (historical management changes flagged in the thread), not a red-flag-tier concern.</w:t>
      </w:r>
    </w:p>
    <w:p>
      <w:pPr>
        <w:pStyle w:val="Heading1"/>
        <w:spacing w:after="120" w:before="280"/>
      </w:pPr>
      <w:r>
        <w:t xml:space="preserve">Bull Case</w:t>
      </w:r>
    </w:p>
    <w:p>
      <w:pPr>
        <w:pStyle w:val="ListParagraph"/>
        <w:numPr>
          <w:ilvl w:val="0"/>
          <w:numId w:val="1"/>
        </w:numPr>
        <w:spacing w:after="60"/>
      </w:pPr>
      <w:r>
        <w:t xml:space="preserve">Best-in-class capital efficiency for the sector (ROCE 25.7%, ROE 19.3%) on a debt-free balance sheet</w:t>
      </w:r>
    </w:p>
    <w:p>
      <w:pPr>
        <w:pStyle w:val="ListParagraph"/>
        <w:numPr>
          <w:ilvl w:val="0"/>
          <w:numId w:val="1"/>
        </w:numPr>
        <w:spacing w:after="60"/>
      </w:pPr>
      <w:r>
        <w:t xml:space="preserve">Multi-year track record of consistent double-digit revenue and margin growth, well ahead of industry</w:t>
      </w:r>
    </w:p>
    <w:p>
      <w:pPr>
        <w:pStyle w:val="ListParagraph"/>
        <w:numPr>
          <w:ilvl w:val="0"/>
          <w:numId w:val="1"/>
        </w:numPr>
        <w:spacing w:after="60"/>
      </w:pPr>
      <w:r>
        <w:t xml:space="preserve">RPG Group backing and improving institutional interest per community discussion</w:t>
      </w:r>
    </w:p>
    <w:p>
      <w:pPr>
        <w:pStyle w:val="Heading1"/>
        <w:spacing w:after="120" w:before="280"/>
      </w:pPr>
      <w:r>
        <w:t xml:space="preserve">Bear Case / Key Risks</w:t>
      </w:r>
    </w:p>
    <w:p>
      <w:pPr>
        <w:pStyle w:val="ListParagraph"/>
        <w:numPr>
          <w:ilvl w:val="0"/>
          <w:numId w:val="1"/>
        </w:numPr>
        <w:spacing w:after="60"/>
      </w:pPr>
      <w:r>
        <w:t xml:space="preserve">Recent Q2 FY26 print broke the growth streak with a YoY EBITDA/PAT decline — worth watching for a trend vs one-off</w:t>
      </w:r>
    </w:p>
    <w:p>
      <w:pPr>
        <w:pStyle w:val="ListParagraph"/>
        <w:numPr>
          <w:ilvl w:val="0"/>
          <w:numId w:val="1"/>
        </w:numPr>
        <w:spacing w:after="60"/>
      </w:pPr>
      <w:r>
        <w:t xml:space="preserve">Trading at a rich 7.27x book value, leaving less room for multiple compression if growth stalls</w:t>
      </w:r>
    </w:p>
    <w:p>
      <w:pPr>
        <w:pStyle w:val="ListParagraph"/>
        <w:numPr>
          <w:ilvl w:val="0"/>
          <w:numId w:val="1"/>
        </w:numPr>
        <w:spacing w:after="60"/>
      </w:pPr>
      <w:r>
        <w:t xml:space="preserve">Historical management-change episodes flagged by long-time forum members as a recurring quality watch-item</w:t>
      </w:r>
    </w:p>
    <w:p>
      <w:pPr>
        <w:pStyle w:val="Heading1"/>
        <w:spacing w:after="120" w:before="280"/>
      </w:pPr>
      <w:r>
        <w:t xml:space="preserve">Market-Cap Tier (informational — not a gate in this project)</w:t>
      </w:r>
    </w:p>
    <w:p>
      <w:pPr>
        <w:spacing w:after="120"/>
      </w:pPr>
      <w:r>
        <w:rPr>
          <w:b/>
          <w:bCs/>
        </w:rPr>
        <w:t xml:space="preserve">Small-cap (~Rs 4,402 Cr)</w:t>
      </w:r>
    </w:p>
    <w:p>
      <w:pPr>
        <w:pStyle w:val="Heading1"/>
        <w:spacing w:after="120" w:before="280"/>
      </w:pPr>
      <w:r>
        <w:t xml:space="preserve">Thesis Fit</w:t>
      </w:r>
    </w:p>
    <w:p>
      <w:pPr>
        <w:spacing w:after="120"/>
      </w:pPr>
      <w:r>
        <w:rPr>
          <w:b/>
          <w:bCs/>
          <w:sz w:val="24"/>
          <w:szCs w:val="24"/>
        </w:rPr>
        <w:t xml:space="preserve">neither</w:t>
      </w:r>
    </w:p>
    <w:p>
      <w:pPr>
        <w:pStyle w:val="Heading1"/>
        <w:spacing w:after="120" w:before="280"/>
      </w:pPr>
      <w:r>
        <w:t xml:space="preserve">Verdict</w:t>
      </w:r>
    </w:p>
    <w:p>
      <w:pPr>
        <w:spacing w:after="120"/>
      </w:pPr>
      <w:r>
        <w:rPr>
          <w:b/>
          <w:bCs/>
          <w:sz w:val="24"/>
          <w:szCs w:val="24"/>
        </w:rPr>
        <w:t xml:space="preserve">High-quality, debt-free pharma compounder, but at Rs 4,400 Cr and rich book multiple it needs a sharper catalyst for a 10x case</w:t>
      </w:r>
    </w:p>
    <w:p>
      <w:pPr>
        <w:pStyle w:val="ListParagraph"/>
        <w:numPr>
          <w:ilvl w:val="0"/>
          <w:numId w:val="1"/>
        </w:numPr>
        <w:spacing w:after="60"/>
      </w:pPr>
      <w:r>
        <w:t xml:space="preserve">Fundamentals are genuinely strong (ROCE/ROE, debt-free, above-industry growth) and clear the quality gate comfortably</w:t>
      </w:r>
    </w:p>
    <w:p>
      <w:pPr>
        <w:pStyle w:val="ListParagraph"/>
        <w:numPr>
          <w:ilvl w:val="0"/>
          <w:numId w:val="1"/>
        </w:numPr>
        <w:spacing w:after="60"/>
      </w:pPr>
      <w:r>
        <w:t xml:space="preserve">But the market cap and valuation are already fairly full, and the latest quarter's growth dip removes the clean high-growth setup needed for 10x-in-2-3-years</w:t>
      </w:r>
    </w:p>
    <w:p>
      <w:pPr>
        <w:pStyle w:val="ListParagraph"/>
        <w:numPr>
          <w:ilvl w:val="0"/>
          <w:numId w:val="1"/>
        </w:numPr>
        <w:spacing w:after="60"/>
      </w:pPr>
      <w:r>
        <w:t xml:space="preserve">No specific catalyst identified in community discussion large enough to justify a 100x-in-10-years case at this size</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2026-08-31T03:03:41.402Z</dcterms:created>
  <dcterms:modified xsi:type="dcterms:W3CDTF">2026-08-31T03:03:41.407Z</dcterms:modified>
</cp:coreProperties>
</file>

<file path=docProps/custom.xml><?xml version="1.0" encoding="utf-8"?>
<Properties xmlns="http://schemas.openxmlformats.org/officeDocument/2006/custom-properties" xmlns:vt="http://schemas.openxmlformats.org/officeDocument/2006/docPropsVTypes"/>
</file>