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Ramkrishna Forgings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An IAS 2026 conference pick with weak fundamentals, a stale, disengaged community thread, and community-flagged governance concerns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Community-flagged, unresolved governance concerns: a delayed FY25 Q1 results release, an unconvincing management explanation for an inventory discrepancy, and reported factory safety-protocol lapses near heavy machinery - none confirmed as regulatory action but a real, unaddressed cluster of credibility issues.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Ramkrishna Forgings is a preferred supplier of forged and rolled components to railways, automobile, mining, earthmoving, oil exploration, farm equipment, wind energy, bearing and general engineering industries.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13,598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5.60% (low)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2.51% (very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2% FY25, well below its 5-year CAGR of 27.1%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quarter/catalyst</w:t>
            </w:r>
          </w:p>
        </w:tc>
        <w:tc>
          <w:tcPr>
            <w:tcW w:type="dxa" w:w="5800"/>
          </w:tcPr>
          <w:p>
            <w:r>
              <w:t xml:space="preserve">Jul 2025: delayed results release and management commentary on an unexplained 'inventory issue' that the community found unconvincing; stock has continued falling toward 52-week lows since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460 - 773 (a Univest article separately reported a 52-week-high move around Aug 19, 2026, but this is not reflected anywhere in the community thread)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leveraged - Rs 1,584.67 Cr debt vs only Rs 14 Cr cash; P/E ~118 (rich)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Fundamentals have deteriorated sharply from the company's own 5-year growth trend (2% vs 27.1% CAGR), with very weak ROE/ROCE and a rich valuation (P/E ~118) that leaves no margin for the execution and governance concerns the community has raised.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Global-signal check: </w:t>
      </w:r>
      <w:r>
        <w:rPr>
          <w:b w:val="false"/>
          <w:bCs w:val="false"/>
          <w:sz w:val="20"/>
          <w:szCs w:val="20"/>
        </w:rPr>
        <w:t xml:space="preserve">Indian-name alignment with the Heavy industry / forgings / castings - US reshoring, Europe deindustrialisation tailwind is partial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Bellwether / theme</w:t>
            </w:r>
          </w:p>
        </w:tc>
        <w:tc>
          <w:tcPr>
            <w:tcW w:type="dxa" w:w="5800"/>
          </w:tcPr>
          <w:p>
            <w:r>
              <w:t xml:space="preserve">Caterpillar — Heavy industry / forgings / castings - US reshoring, Europe deindustrialisation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Global tailwind</w:t>
            </w:r>
          </w:p>
        </w:tc>
        <w:tc>
          <w:tcPr>
            <w:tcW w:type="dxa" w:w="5800"/>
          </w:tcPr>
          <w:p>
            <w:r>
              <w:t xml:space="preserve">accelerating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Signal looked for</w:t>
            </w:r>
          </w:p>
        </w:tc>
        <w:tc>
          <w:tcPr>
            <w:tcW w:type="dxa" w:w="5800"/>
          </w:tcPr>
          <w:p>
            <w:r>
              <w:t xml:space="preserve">multi-quarter US/Europe export order-book build (reshoring + European forging-capacity closures) visible in the company's own new-order intake and capacity plans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Found in the Indian name</w:t>
            </w:r>
          </w:p>
        </w:tc>
        <w:tc>
          <w:tcPr>
            <w:tcW w:type="dxa" w:w="5800"/>
          </w:tcPr>
          <w:p>
            <w:r>
              <w:t xml:space="preserve">Q1FY27 consol rev Rs1,217cr (+19.8% YoY), PAT Rs46.9cr (+298% YoY), EBITDA margin 17.96%; management GUIDES exports to ~35% of revenue by FY27 on recovering North America (Class-8 trucks) and Europe demand - but Q1FY27 new-order wins were only Rs293cr, of which Rs278cr was domestic autos (82% PV, 18% 2W) and Rs15cr railways; overall capacity utilisation 68%.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Checked on</w:t>
            </w:r>
          </w:p>
        </w:tc>
        <w:tc>
          <w:tcPr>
            <w:tcW w:type="dxa" w:w="5800"/>
          </w:tcPr>
          <w:p>
            <w:r>
              <w:t xml:space="preserve">2026-09-02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profit surge is real but margin-/diversification-led; the export recovery is guided, not yet booked. RKForge's own Q1 order intake is domestic-auto, not the Caterpillar-style multi-year US/Europe reshoring backlog. State: excluded / HIGH CAUTION - this block does not change that.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39 available posts spanning a long-dormant thread (2015-Sep 2025). The thread is largely inactive (long multi-year gaps) and its most recent posts (Jul-Sep 2025) are distinctly negative: a delayed results release, an unconvincing management explanation for an 'inventory issue,' and reports of poor factory safety practices - with no further community engagement since, despite the stock later reportedly hitting a 52-week high per external news in Aug 2026.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VP-trusted-tier user posted in the read window. Rakesh_Aggarwal (non-trusted) flagged in Jul 2025 that the market did not take management's 'inventory issue' explanation at face value. myloginid (non-trusted) directly questioned management credibility over the delayed results release, calling it 'non-responsive management and poor governance.' MACROFIBRE (non-trusted, Sep 2025, the thread's last post) reported the stock near 52-week lows, dismal CEO interviews, near-zero forum interest, and video evidence of staff not wearing safety uniforms near heavy machinery.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2026-08-11 — LearningEleven (X)</w:t>
      </w:r>
      <w:r>
        <w:rPr>
          <w:i/>
          <w:iCs/>
          <w:color w:val="666666"/>
          <w:sz w:val="18"/>
          <w:szCs w:val="18"/>
        </w:rPr>
        <w:t xml:space="preserve"> (X / @LearningEleven)</w:t>
      </w:r>
      <w:r>
        <w:rPr>
          <w:sz w:val="20"/>
          <w:szCs w:val="20"/>
        </w:rPr>
        <w:br/>
        <w:t xml:space="preserve">: Stated holding ('I have Sansera, OBSC and RK Forgings'). NOTE: our screen has this EXCLUDED / HIGH CAUTION — cluster view diverges.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 news (Univest, Aug 2026) reports the stock hitting a 52-week high, suggesting some market re-rating interest not yet reflected in the (dormant) community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 operating history as a preferred forgings supplier across multiple industrial end-markets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has collapsed from a 27.1% 5-year CAGR to just 2% in FY25, alongside very weak ROE (2.51%) and ROCE (5.60%)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(P/E ~118) with no fundamental support visible in the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Community-flagged governance concerns: a delayed results release, an unconvincing management explanation for an inventory discrepancy, and reported factory safety-protocol lapses - none confirmed as regulatory action, but a real, unaddressed credibility cluster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community thread has gone essentially silent for nearly a year (last post Sep 2025) despite this being an actively promoted IAS 2026 conference pick, suggesting the VP community itself has lost interest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13,598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fundamentals, a dormant thread, and unresolved governance concerns outweigh the conference-pick premise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and recent-trend fundamentals are weak (collapsed growth, very low ROE/ROCE) with no catalyst found in either the fundamentals research or the community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Community-flagged governance concerns (delayed results, non-responsive management, safety-protocol lapses) push this to HIGH CAUTION rather than a clean read, even though none rise to a confirmed SEBI 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conviction reflects the combination of weak numbers, rich valuation, and credibility concerns with no offsetting trusted-tier endorsement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2026-09-02T14:18:18.776Z</dcterms:created>
  <dcterms:modified xsi:type="dcterms:W3CDTF">2026-09-02T14:18:18.776Z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