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Rapicut Carbides Ltd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Micro-cap tungsten carbide tool maker riding a real, very recent global tungsten supercycle -- unconfirmed in its own numbers yet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Rapicut Carbides -- manufacturer of tungsten carbide cutting tools, under relatively new management following an open-offer acquisition.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Rs 134 Cr (up 171% in 1 year)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ROE</w:t>
            </w:r>
          </w:p>
        </w:tc>
        <w:tc>
          <w:tcPr>
            <w:tcW w:type="dxa" w:w="5800"/>
          </w:tcPr>
          <w:p>
            <w:r>
              <w:t xml:space="preserve">9.98% TTM (vs 0.06% 3yr avg -- sharp recent-quarter improvement)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</w:t>
            </w:r>
          </w:p>
        </w:tc>
        <w:tc>
          <w:tcPr>
            <w:tcW w:type="dxa" w:w="5800"/>
          </w:tcPr>
          <w:p>
            <w:r>
              <w:t xml:space="preserve">10.13%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Debt</w:t>
            </w:r>
          </w:p>
        </w:tc>
        <w:tc>
          <w:tcPr>
            <w:tcW w:type="dxa" w:w="5800"/>
          </w:tcPr>
          <w:p>
            <w:r>
              <w:t xml:space="preserve">D/E 0.34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Revenue growth</w:t>
            </w:r>
          </w:p>
        </w:tc>
        <w:tc>
          <w:tcPr>
            <w:tcW w:type="dxa" w:w="5800"/>
          </w:tcPr>
          <w:p>
            <w:r>
              <w:t xml:space="preserve">Revenue Rs 96.3 Cr, profit only Rs 2.06 Cr (thin ~2% net margin)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52-week range</w:t>
            </w:r>
          </w:p>
        </w:tc>
        <w:tc>
          <w:tcPr>
            <w:tcW w:type="dxa" w:w="5800"/>
          </w:tcPr>
          <w:p>
            <w:r>
              <w:t xml:space="preserve">Rs 66.66 - 204.95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A textbook case of a weak multi-year trailing average (near-zero 3yr ROE) alongside a sharp recent-quarter improvement (9.98% TTM ROE) -- but absolute profitability is still thin (Rs 2.06 Cr profit on Rs 96.3 Cr revenue), and the stock trades at 6.16x book value pricing in a lot of hope.</w:t>
      </w:r>
    </w:p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Not pulled -- micro-cap, catalyst-driven situation where fundamentals/community signal were the deciding factor.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Read all 21 posts in the thread (2019-08 to 2026-08, mostly dormant between 2020 and Aug 2026). Three very recent posts (2026-08-09 and 2026-08-18) surfaced a real, specific, and current catalyst: China cut tungsten export quotas by 6.5% in 2025 and tightened export contingencies, triggering a global tungsten price supercycle; a peer company (Menon Bearings) reported carbide tool prices up 300% YoY in its Aug 2026 concall.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No trusted users posted in this thread. The catalyst is external and industry-wide (a genuine commodity supply shock, not company-specific spin), but it is inferred from a peer's concall commentary, not confirmed yet in Rapicut's own results.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/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Real, specific, very recent commodity catalyst: China's 2025 tungsten export quota cuts have triggered a documented supercycle, with a peer citing carbide tool prices up 300% YoY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Recent-quarter ROE/ROCE already showing a sharp improvement versus the weak 3yr trailing average, ahead of full catalyst pass-through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Absolute profitability is still thin (Rs 2.06 Cr profit) and the stock has already run up 171% in a year and trades at 6.16x book, pricing in significant optimism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trusted-user validation, thin community coverage, and the margin benefit is inferred from a peer's commentary rather than confirmed in Rapicut's own numbers yet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Micro-cap (~Rs 134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10x-in-2-3-years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A real commodity-supercycle catalyst for a thin-margin micro-cap -- promising but genuinely unconfirmed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Per this screen's rule on weak trailing averages with a specific, credible recent-quarter catalyst for a small-cap: proceeds at Low conviction with an explicit unconfirmed caveat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Needs Rapicut's own next 1-2 quarters of results to confirm the margin pass-through before conviction can rise; thin community coverage means less independent scrutiny than a larger name would get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2026-08-25T16:05:05.814Z</dcterms:created>
  <dcterms:modified xsi:type="dcterms:W3CDTF">2026-08-25T16:05:05.814Z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