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RateGain Travel Technologies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largest travel &amp; hospitality SaaS, already re-rated ~82% in a year to ~Rs 11,000 Cr, with only single-digit ROCE and modest organic growth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RateGain is a SaaS provider to the global travel and hospitality industry -- distribution, rate intelligence and marketing technology for hotels, airlines and OTAs. Growth has been part acquisition-led.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11,065 Cr (up ~82% in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~9.3% / ~11-13%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~Rs 2,336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Recent growth</w:t>
            </w:r>
          </w:p>
        </w:tc>
        <w:tc>
          <w:tcPr>
            <w:tcW w:type="dxa" w:w="5800"/>
          </w:tcPr>
          <w:p>
            <w:r>
              <w:t xml:space="preserve">Q2 FY26 revenue +9.7% QoQ; FY26 Q4 +175% YoY (acquisition-inflated)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365 - 740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Revenue growth is real but a good part is inorganic, and capital efficiency is low for a SaaS company (ROCE ~9%, ROE ~11-13%). The stock has already re-rated ~82% over the past year to ~Rs 11,000 Cr.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-- filtered on size, modest quality and an already-completed re-rating.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deep-read this pass. Filtered at the preliminary stage: a ~Rs 11,000 Cr mid-cap with single-digit ROCE, partly acquisition-driven growth and an 82% one-year run is a poor starting point for a 10x-in-2-3-years or 100x-in-10-years thesis, and no specific sharp catalyst is evident.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assessed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Largest travel &amp; hospitality SaaS franchise in India with a global client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 post-pandemic travel-tech demand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Recurring-revenue model with cross-sell across three product lines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~Rs 11,000 Cr market cap already, after an ~82% one-year re-rating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only ~9%, ROE ~11-13% -- weak for SaaS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Headline growth flattered by acquisitions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specific sharp catalyst to justify a multi-bagger call from here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11,065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Quality franchise but already mid-cap, modest-return and re-rated -- filtered out on size and trajectory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~Rs 11,000 Cr with ~9% ROCE and largely inorganic growth, a 10x/100x outcome is unrealistic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flag, but no sharp catalyst either -- filtered per the standard rule for a name that is both sizeable and only modestly profitable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 fit 'neither', conviction Low, no revisit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2026-08-27T16:50:30.832Z</dcterms:created>
  <dcterms:modified xsi:type="dcterms:W3CDTF">2026-08-27T16:50:30.833Z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