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Religare Enterprises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Post-Burman-takeover financial-services holdco — Care Health Insurance is the crown jewel, but consolidated returns are ~3% and the stock trades at ~160x earnings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Holding company: Care Health Insurance (~74% of revenue), Religare Finvest (SME lending, long under stress/RBI resolution), Religare Broking (~8%). Control passed to the Burman family (Dabur promoters) after a contested open offer.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8,062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52-wk</w:t>
            </w:r>
          </w:p>
        </w:tc>
        <w:tc>
          <w:tcPr>
            <w:tcW w:type="dxa" w:w="5800"/>
          </w:tcPr>
          <w:p>
            <w:r>
              <w:t xml:space="preserve">~Rs 234 / Rs 197–314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~3.1% / ~3.2%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(Q1 FY27)</w:t>
            </w:r>
          </w:p>
        </w:tc>
        <w:tc>
          <w:tcPr>
            <w:tcW w:type="dxa" w:w="5800"/>
          </w:tcPr>
          <w:p>
            <w:r>
              <w:t xml:space="preserve">~Rs 2,358 Cr (+26%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~160x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87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Consolidated profitability is very thin (ROE ~3%) and the valuation (~160x P/E, ~2.7x book) already prices a clean-up and a Care Health value-unlock. The insurance subsidiary is genuinely valuable and growing, but minority holders own it through a holdco discount and a still-messy structure (Finvest legacy). This is a special-situation / SOTP story, not a quality-compounder screen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Did not run a deep thread read — large-cap with sub-4% consolidated ROE and ~160x P/E fails the preliminary filter; write-up is web/fundamentals-led. Thread (topic 5659) last active 09-Aug-2026, ~93 posts.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(Step 4 skipped).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Burman open offer concluded; historical Singh-brothers fraud is legacy under prior ownership. No active SEBI action identified against current management.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Health Insurance is a scaled, growing health insurer — potential standalone listing / value unlock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Burman family control removes the multi-year ownership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consolidated revenue +26% YoY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ROE ~3%; ~160x P/E leaves no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Holdco structure — minorities access Care only at a conglomerate discount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Religare Finvest remains a legacy drag; group simplification unfinished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8,000 Cr cap with weak blended returns — no 'sharp catalyst' that a 10x thesis needs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8,062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Valuable insurance asset trapped in a low-ROE holdco at ~160x earnings — a SOTP special situation, not a screen 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Blended ROE ~3% and an extreme multiple mean the easy money on the ownership-change re-rate is likely already made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10x in 2–3 years would require both a full structural clean-up and a large Care Health re-rating to accrue to minorities — too many moving parts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at Step 3 as a large-cap with weak fundamentals and no sharp, specific near-term catalyst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2026-08-30T06:24:39.688Z</dcterms:created>
  <dcterms:modified xsi:type="dcterms:W3CDTF">2026-08-30T06:24:39.689Z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