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SJS Enterprises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small-cap decorative-aesthetics auto-ancillary betting on a real display/cover-glass TAM expansion, but a trusted user flags recent standalone stagnation just days before this scan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SJS Enterprises manufactures decorative aesthetic products for automotive and consumer appliance industries — dials, overlays, badges, cover glass, and (via its Exotech/WPI plants) chrome-plated and injection-moulded trim components. It has diversified into digital cockpit displays via a Technology License Agreement with BOE Varitronix (Hong Kong), onboarded Dixon as a customer for the consumer-durables segment, and is scaling exports (currently 6.7% of revenue, targeting 14-15% by FY28) with wins from Stellantis, Whirlpool, Autoliv and Hero Motocorp.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8,111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811.00 - Rs 1,930.00 (as of 07-Apr-2026)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17.40%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21.89%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17.55% (vs industry 12.29%)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0.02 (near debt-free)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growth</w:t>
            </w:r>
          </w:p>
        </w:tc>
        <w:tc>
          <w:tcPr>
            <w:tcW w:type="dxa" w:w="5800"/>
          </w:tcPr>
          <w:p>
            <w:r>
              <w:t xml:space="preserve">28.6% YoY, within management's 27-28% guidance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 quality metrics (ROE 17.4%, ROCE 21.89%, near-zero debt, revenue growth well ahead of the auto-ancillary industry median) with real, specific catalysts: the cover-glass/digital-cockpit-display business (TAM estimated to grow from Rs 800-1,000 Cr today to Rs 3,000-4,000 Cr in 5 years per forum plant-visit notes), Dixon onboarding for consumer durables, and export scaling. Q1 FY27 delivered 28.6% growth, comfortably within guidance. However, the most recent post in the thread (20-Aug-2026, three days before this scan) from a trusted user flags that growth was driven almost entirely by the Decoplast subsidiary while the standalone entity has stagnated for four consecutive quarters, and that H2 will face a tougher post-GST base along with new Pune plant costs pressuring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(#129-182) of a substantive, plant-visit-heavy thread with detailed on-the-ground diligence (two separate plant visit reports from divygupta covering Pune and Bangalore facilities, cover-glass process details, client conversations including a Rivian EV testing relationship). Multiple trusted-elevated users (Gautam_Chopra, Vivek_6954, Chandragupta) posted informational updates rather than one-time high-conviction calls. The original trusted signal (joinjp2003, from a separate portfolio thread) was a genuine conviction bet: ramped to 8% of portfolio within a quarter, named among 2025 'conviction bets'.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from My portfolio updates and investment journey) ramped SJS to 8% of his portfolio within a single quarter and named it among his 2025 conviction bets — a real, sized position, not a passive mention. However, the most recent company-thread post (Chandragupta, trusted, 20-Aug-2026) is a fresh caution flag: standalone business stagnating for four quarters, growth concentrated in one subsidiary (Decoplast) which itself faces a high base next quarter, and margin pressure from new plant costs and a tougher post-GST comp base in H2.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2026-08-20 — Chandragupta (trusted)</w:t>
      </w:r>
      <w:r>
        <w:rPr>
          <w:i/>
          <w:iCs/>
          <w:color w:val="666666"/>
          <w:sz w:val="18"/>
          <w:szCs w:val="18"/>
        </w:rPr>
        <w:t xml:space="preserve"> (SJS Enterprises Ltd (company thread))</w:t>
      </w:r>
      <w:r>
        <w:rPr>
          <w:sz w:val="20"/>
          <w:szCs w:val="20"/>
        </w:rPr>
        <w:br/>
        <w:t xml:space="preserve">: Flagged that Q1 FY27 growth was driven by Decoplast (which has a high base next quarter) while the standalone entity has stagnated for four straight quarters; H2 faces a post-GST high base and new Pune plant costs pressuring margins.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2025 (dated ramp-up, exact quarter unspecified) — joinjp2003 (trusted)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Ramped SJS Enterprises to 8% of portfolio within a quarter; named among 2025 'conviction bets'.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Promoter K A Joseph pledged ~4.3% of shares in Dec 2024; forum users tracked this and confirmed it was fully unpledged by Q1 FY26 (short-term arrangement, not ongoing).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Strong, independently-verified quality metrics: ROE 17.4%, ROCE 21.89%, near-zero debt, revenue growth well ahead of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specific catalysts with credible TAM math from on-the-ground plant visits: cover-glass/digital-cockpit-display TAM could grow 3-4x in 5 years, content-per-vehicle could roughly double with the BOE Varitronix tech license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trusted conviction: joinjp2003 ramped to 8% of portfolio within a quarter, a real sized bet not a passive mention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scaling on track (6.7% of revenue today, targeting 14-15% by FY28) with credible named wins (Stellantis, Whirlpool, Autoliv, Hero Motocorp)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user's most recent post (three days before this scan) flags standalone-business stagnation for four consecutive quarters, with growth concentrated in one subsidiary that itself faces a tougher comp in the next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re-rated substantially (one poster noted 30-40x P/E as of late 2025), meaning much of the growth story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FY27 faces a harder post-GST comparison base plus new Pune plant costs that could compress margins right when standalone growth needs to pick up the slack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display/cover-glass business (the primary long-term catalyst) doesn't meaningfully hit revenue until FY27-28 per management's own timeline — this remains a forward-looking bet, not a realized one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well-diligenced small-cap with a real display-business catalyst, but the most current signal in the thread is a trusted caution flag, not a bullish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independently strong (ROE 17.4%, ROCE 21.89%, near-debt-free, above-industry revenue growth) and the trusted signal is real and sized (joinjp2003 ramped to 8% of portfolio).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display/cover-glass TAM expansion (Rs 800-1,000 Cr today to Rs 3,000-4,000 Cr in 5 years) is a credible, specific catalyst backed by primary-source plant-visit diligence, not just management talking points — this fits the small-cap 'weak-trailing-plus-catalyst' pattern, though here the trailing average is actually fine and it's the forward catalyst that's the real draw.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Weighing against this: the most recent, most current signal in the thread (posted three days before this scan, from a trusted user) is explicitly cautious — standalone stagnation, high subsidiary base, and margin pressure ahead. This is not a stale concern; it's the freshest data point available.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is set to Low given this genuine tension: real quality and a credible long-term catalyst, but a trusted, dated, specific near-term caution flag that this project's own recency-weighting rule says should not be smoothed over by the trailing story. Revisit next quarter for margin and standalone-growth confirmation before raising conviction.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2026-08-23T03:36:11.741Z</dcterms:created>
  <dcterms:modified xsi:type="dcterms:W3CDTF">2026-08-23T03:36:11.745Z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