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Sandhar Technologies Ltd</w:t>
      </w:r>
    </w:p>
    <w:p>
      <w:pPr>
        <w:pBdr>
          <w:bottom w:val="single" w:color="CCCCCC" w:sz="6" w:space="8"/>
        </w:pBdr>
        <w:spacing w:after="200"/>
      </w:pPr>
      <w:r>
        <w:rPr>
          <w:i/>
          <w:iCs/>
          <w:color w:val="666666"/>
          <w:sz w:val="22"/>
          <w:szCs w:val="22"/>
        </w:rPr>
        <w:t xml:space="preserve">Auto-ancillary compounder with genuinely accelerating FY26 results and an overseas turnaround underway, but real customer-concentration risk and an unresolved, unanswered forum question about recent management resignations</w:t>
      </w:r>
    </w:p>
    <w:p>
      <w:pPr>
        <w:pStyle w:val="Heading1"/>
        <w:spacing w:after="120" w:before="280"/>
      </w:pPr>
      <w:r>
        <w:t xml:space="preserve">Business Overview</w:t>
      </w:r>
    </w:p>
    <w:p>
      <w:pPr>
        <w:spacing w:after="120"/>
      </w:pPr>
      <w:r>
        <w:t xml:space="preserve">Sandhar Technologies manufactures auto components (locking systems, mirrors, sheet metal, die-casting parts) for 2-wheeler and other OEMs, with a diversifying product mix including higher-margin products and overseas (European) operations.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4,012 Cr</w:t>
            </w:r>
          </w:p>
        </w:tc>
      </w:tr>
      <w:tr>
        <w:tc>
          <w:tcPr>
            <w:tcW w:type="dxa" w:w="3200"/>
            <w:shd w:fill="F2F2F2" w:val="clear"/>
          </w:tcPr>
          <w:p>
            <w:r>
              <w:rPr>
                <w:b/>
                <w:bCs/>
              </w:rPr>
              <w:t xml:space="preserve">ROCE</w:t>
            </w:r>
          </w:p>
        </w:tc>
        <w:tc>
          <w:tcPr>
            <w:tcW w:type="dxa" w:w="5800"/>
          </w:tcPr>
          <w:p>
            <w:r>
              <w:t xml:space="preserve">9.78% (avg)</w:t>
            </w:r>
          </w:p>
        </w:tc>
      </w:tr>
      <w:tr>
        <w:tc>
          <w:tcPr>
            <w:tcW w:type="dxa" w:w="3200"/>
            <w:shd w:fill="F2F2F2" w:val="clear"/>
          </w:tcPr>
          <w:p>
            <w:r>
              <w:rPr>
                <w:b/>
                <w:bCs/>
              </w:rPr>
              <w:t xml:space="preserve">ROE</w:t>
            </w:r>
          </w:p>
        </w:tc>
        <w:tc>
          <w:tcPr>
            <w:tcW w:type="dxa" w:w="5800"/>
          </w:tcPr>
          <w:p>
            <w:r>
              <w:t xml:space="preserve">13.6% (3yr avg)</w:t>
            </w:r>
          </w:p>
        </w:tc>
      </w:tr>
      <w:tr>
        <w:tc>
          <w:tcPr>
            <w:tcW w:type="dxa" w:w="3200"/>
            <w:shd w:fill="F2F2F2" w:val="clear"/>
          </w:tcPr>
          <w:p>
            <w:r>
              <w:rPr>
                <w:b/>
                <w:bCs/>
              </w:rPr>
              <w:t xml:space="preserve">Debt to Equity</w:t>
            </w:r>
          </w:p>
        </w:tc>
        <w:tc>
          <w:tcPr>
            <w:tcW w:type="dxa" w:w="5800"/>
          </w:tcPr>
          <w:p>
            <w:r>
              <w:t xml:space="preserve">68.4% (elevated, ~Rs 7.3B debt vs ~Rs 10.7B equity)</w:t>
            </w:r>
          </w:p>
        </w:tc>
      </w:tr>
      <w:tr>
        <w:tc>
          <w:tcPr>
            <w:tcW w:type="dxa" w:w="3200"/>
            <w:shd w:fill="F2F2F2" w:val="clear"/>
          </w:tcPr>
          <w:p>
            <w:r>
              <w:rPr>
                <w:b/>
                <w:bCs/>
              </w:rPr>
              <w:t xml:space="preserve">Q4 FY26 (concall)</w:t>
            </w:r>
          </w:p>
        </w:tc>
        <w:tc>
          <w:tcPr>
            <w:tcW w:type="dxa" w:w="5800"/>
          </w:tcPr>
          <w:p>
            <w:r>
              <w:t xml:space="preserve">Revenue Rs 1,306 Cr vs Rs 1,014 Cr, up 29%; EBITDA Rs 144 Cr vs Rs 109 Cr, up 32% (margin 11% vs 10.5%); PAT Rs 64 Cr vs Rs 42 Cr, up 50%</w:t>
            </w:r>
          </w:p>
        </w:tc>
      </w:tr>
    </w:tbl>
    <w:p>
      <w:pPr>
        <w:spacing w:after="100"/>
      </w:pPr>
    </w:p>
    <w:p>
      <w:pPr>
        <w:spacing w:after="120"/>
      </w:pPr>
      <w:r>
        <w:t xml:space="preserve">FY26 showed genuine, accelerating improvement -- Q4 revenue +29%, EBITDA +32%, and PAT +50% YoY, with margin expansion -- building on a Q3 that was already up 21%/16%/12% on the same metrics. Debt-to-equity of 68.4% is elevated, and screener flagged the company as recently "downgraded to average quality" on mixed financial signals, a caution worth weighing against the clearly improving trend.</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all 50 posts of the ValuePickr company thread (2021-2026). ranvir (trusted, elevated-tier) has been the most consistent and detailed tracker through 2024-2026, posting quarterly concall highlights; joinjp2003 (trusted, elevated-tier -- the same user whose portfolio mention originally sourced this candidate) also posted directly on the company thread in Feb 2024 with a detailed thesis.</w:t>
      </w:r>
    </w:p>
    <w:p>
      <w:pPr>
        <w:spacing w:after="120"/>
      </w:pPr>
      <w:r>
        <w:rPr>
          <w:b/>
          <w:bCs/>
          <w:sz w:val="20"/>
          <w:szCs w:val="20"/>
        </w:rPr>
        <w:t xml:space="preserve">High-conviction call from a top contributor: </w:t>
      </w:r>
      <w:r>
        <w:rPr>
          <w:sz w:val="20"/>
          <w:szCs w:val="20"/>
        </w:rPr>
        <w:t xml:space="preserve">joinjp2003 (trusted, Feb 2024) laid out a specific thesis: expecting 15-20% topline and 20-25% bottomline growth over 2-3 years on a PEG of ~1.5x, driven by better asset utilization and EV-related products (DC-DC chargers, motor controllers). Aditya_Talwar (Dec 2025, non-trusted but detailed) flagged real risks -- customer concentration (&gt;50% of revenue from the top two 2-wheeler OEMs, concentration set to rise further) and a weak debt-earnings mix in subsidiaries (62% of consolidated debt but under 27% of EBITDA) -- alongside positives (overseas losses sharply reduced in Q2 FY26, breakeven targeted Q4 FY26; valuation discount to peers). ranvir (trusted) confirmed the overseas turnaround progressing through Q3/Q4 FY26 concall notes, with management explaining potential profitability once Sundaram and European operations turn around. The most recent post in the thread (chintri, Jun 2026, unanswered) asks why key management personnel are resigning from the company -- a real, current, and as of this pass unresolved governance question that postdates all the positive quarterly commentary.</w:t>
      </w:r>
    </w:p>
    <w:p>
      <w:pPr>
        <w:pStyle w:val="Heading1"/>
        <w:spacing w:after="120" w:before="280"/>
      </w:pPr>
      <w:r>
        <w:t xml:space="preserve">BSE Corporate Actions / Other Red Flags</w:t>
      </w:r>
    </w:p>
    <w:p>
      <w:pPr>
        <w:spacing w:after="120"/>
      </w:pPr>
      <w:r>
        <w:t xml:space="preserve">Not checked this pass.</w:t>
      </w:r>
    </w:p>
    <w:p>
      <w:pPr>
        <w:pStyle w:val="Heading1"/>
        <w:spacing w:after="120" w:before="280"/>
      </w:pPr>
      <w:r>
        <w:t xml:space="preserve">Bull Case</w:t>
      </w:r>
    </w:p>
    <w:p>
      <w:pPr>
        <w:pStyle w:val="ListParagraph"/>
        <w:numPr>
          <w:ilvl w:val="0"/>
          <w:numId w:val="1"/>
        </w:numPr>
        <w:spacing w:after="60"/>
      </w:pPr>
      <w:r>
        <w:t xml:space="preserve">Genuinely accelerating FY26 results (Q4 revenue +29%, EBITDA +32%, PAT +50% YoY) with margin expansion, not a one-off</w:t>
      </w:r>
    </w:p>
    <w:p>
      <w:pPr>
        <w:pStyle w:val="ListParagraph"/>
        <w:numPr>
          <w:ilvl w:val="0"/>
          <w:numId w:val="1"/>
        </w:numPr>
        <w:spacing w:after="60"/>
      </w:pPr>
      <w:r>
        <w:t xml:space="preserve">A trusted user laid out a specific, credible multi-year thesis (15-20% topline, 20-25% bottomline growth) well ahead of these results materializing</w:t>
      </w:r>
    </w:p>
    <w:p>
      <w:pPr>
        <w:pStyle w:val="ListParagraph"/>
        <w:numPr>
          <w:ilvl w:val="0"/>
          <w:numId w:val="1"/>
        </w:numPr>
        <w:spacing w:after="60"/>
      </w:pPr>
      <w:r>
        <w:t xml:space="preserve">European/overseas turnaround progressing with a stated breakeven target, which would remove a current earnings drag</w:t>
      </w:r>
    </w:p>
    <w:p>
      <w:pPr>
        <w:pStyle w:val="ListParagraph"/>
        <w:numPr>
          <w:ilvl w:val="0"/>
          <w:numId w:val="1"/>
        </w:numPr>
        <w:spacing w:after="60"/>
      </w:pPr>
      <w:r>
        <w:t xml:space="preserve">Trades at a discount to peers per community diligence</w:t>
      </w:r>
    </w:p>
    <w:p>
      <w:pPr>
        <w:pStyle w:val="Heading1"/>
        <w:spacing w:after="120" w:before="280"/>
      </w:pPr>
      <w:r>
        <w:t xml:space="preserve">Bear Case / Key Risks</w:t>
      </w:r>
    </w:p>
    <w:p>
      <w:pPr>
        <w:pStyle w:val="ListParagraph"/>
        <w:numPr>
          <w:ilvl w:val="0"/>
          <w:numId w:val="1"/>
        </w:numPr>
        <w:spacing w:after="60"/>
      </w:pPr>
      <w:r>
        <w:t xml:space="preserve">High customer concentration (&gt;50% of revenue from top two 2-wheeler OEMs) is a real, structural risk, and set to increase further as new capacity is aligned to those same customers</w:t>
      </w:r>
    </w:p>
    <w:p>
      <w:pPr>
        <w:pStyle w:val="ListParagraph"/>
        <w:numPr>
          <w:ilvl w:val="0"/>
          <w:numId w:val="1"/>
        </w:numPr>
        <w:spacing w:after="60"/>
      </w:pPr>
      <w:r>
        <w:t xml:space="preserve">Subsidiaries carry a disproportionate share of consolidated debt (62%) relative to their EBITDA contribution (&lt;27%) -- a real capital-allocation caution</w:t>
      </w:r>
    </w:p>
    <w:p>
      <w:pPr>
        <w:pStyle w:val="ListParagraph"/>
        <w:numPr>
          <w:ilvl w:val="0"/>
          <w:numId w:val="1"/>
        </w:numPr>
        <w:spacing w:after="60"/>
      </w:pPr>
      <w:r>
        <w:t xml:space="preserve">An unresolved, unanswered forum question about recent key management personnel resignations (the most recent post in the thread) is a real, current governance flag that has not been addressed as of this pass</w:t>
      </w:r>
    </w:p>
    <w:p>
      <w:pPr>
        <w:pStyle w:val="ListParagraph"/>
        <w:numPr>
          <w:ilvl w:val="0"/>
          <w:numId w:val="1"/>
        </w:numPr>
        <w:spacing w:after="60"/>
      </w:pPr>
      <w:r>
        <w:t xml:space="preserve">Debt-to-equity of 68.4% is elevated for a company also facing customer-concentration risk</w:t>
      </w:r>
    </w:p>
    <w:p>
      <w:pPr>
        <w:pStyle w:val="Heading1"/>
        <w:spacing w:after="120" w:before="280"/>
      </w:pPr>
      <w:r>
        <w:t xml:space="preserve">Market-Cap Tier (informational — not a gate in this project)</w:t>
      </w:r>
    </w:p>
    <w:p>
      <w:pPr>
        <w:spacing w:after="120"/>
      </w:pPr>
      <w:r>
        <w:rPr>
          <w:b/>
          <w:bCs/>
        </w:rPr>
        <w:t xml:space="preserve">Small-mid-cap (~Rs 4,012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Genuinely accelerating results and a credible trusted thesis are tempered by real concentration/debt risk and an unresolved, current question about management resignations</w:t>
      </w:r>
    </w:p>
    <w:p>
      <w:pPr>
        <w:pStyle w:val="ListParagraph"/>
        <w:numPr>
          <w:ilvl w:val="0"/>
          <w:numId w:val="1"/>
        </w:numPr>
        <w:spacing w:after="60"/>
      </w:pPr>
      <w:r>
        <w:t xml:space="preserve">FY26's accelerating revenue, margin, and profit growth match a trusted user's specific thesis laid out well in advance, which is a meaningfully stronger signal than a generic bullish mention</w:t>
      </w:r>
    </w:p>
    <w:p>
      <w:pPr>
        <w:pStyle w:val="ListParagraph"/>
        <w:numPr>
          <w:ilvl w:val="0"/>
          <w:numId w:val="1"/>
        </w:numPr>
        <w:spacing w:after="60"/>
      </w:pPr>
      <w:r>
        <w:t xml:space="preserve">Customer concentration and subsidiary debt structure are real, quantified risks flagged by the community, not vague concerns</w:t>
      </w:r>
    </w:p>
    <w:p>
      <w:pPr>
        <w:pStyle w:val="ListParagraph"/>
        <w:numPr>
          <w:ilvl w:val="0"/>
          <w:numId w:val="1"/>
        </w:numPr>
        <w:spacing w:after="60"/>
      </w:pPr>
      <w:r>
        <w:t xml:space="preserve">The unresolved forum question about key management resignations (most recent post, unanswered) is a fresh and current caution that keeps this from a higher conviction level pending clarity</w:t>
      </w:r>
    </w:p>
    <w:p>
      <w:pPr>
        <w:pStyle w:val="ListParagraph"/>
        <w:numPr>
          <w:ilvl w:val="0"/>
          <w:numId w:val="1"/>
        </w:numPr>
        <w:spacing w:after="60"/>
      </w:pPr>
      <w:r>
        <w:t xml:space="preserve">Conviction is set to Medium, balancing genuine operating momentum against concentration risk and the open governance question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2026-08-23T07:04:36.001Z</dcterms:created>
  <dcterms:modified xsi:type="dcterms:W3CDTF">2026-08-23T07:04:36.002Z</dcterms:modified>
</cp:coreProperties>
</file>

<file path=docProps/custom.xml><?xml version="1.0" encoding="utf-8"?>
<Properties xmlns="http://schemas.openxmlformats.org/officeDocument/2006/custom-properties" xmlns:vt="http://schemas.openxmlformats.org/officeDocument/2006/docPropsVTypes"/>
</file>