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Sathlokhar Synergys E&amp;C Global Ltd</w:t>
      </w:r>
    </w:p>
    <w:p>
      <w:pPr>
        <w:pBdr>
          <w:bottom w:val="single" w:color="CCCCCC" w:sz="6" w:space="8"/>
        </w:pBdr>
        <w:spacing w:after="200"/>
      </w:pPr>
      <w:r>
        <w:rPr>
          <w:i/>
          <w:iCs/>
          <w:color w:val="666666"/>
          <w:sz w:val="22"/>
          <w:szCs w:val="22"/>
        </w:rPr>
        <w:t xml:space="preserve">Fast-growing SME turnkey EPC contractor with a large order book and an optically cheap multiple - but FY26 operating cash flow was negative ~Rs 163 Cr against ~Rs 103 Cr reported profit, a serious earnings-quality flag</w:t>
      </w:r>
    </w:p>
    <w:p>
      <w:pPr>
        <w:pStyle w:val="Heading1"/>
        <w:spacing w:after="120" w:before="280"/>
      </w:pPr>
      <w:r>
        <w:t xml:space="preserve">Business Overview</w:t>
      </w:r>
    </w:p>
    <w:p>
      <w:pPr>
        <w:spacing w:after="120"/>
      </w:pPr>
      <w:r>
        <w:t xml:space="preserve">Sathlokhar Synergys E&amp;C Global (NSE: SSEGL) is a turnkey EPC player offering end-to-end execution - design, civil works, PEB structures, MEP systems, solar installations and interior fit-outs - largely for industrial and commercial clients. FY26 revenue grew ~121% YoY; a large customer is Reliance Consumer Products.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819 Cr (down ~33% over 1 year; 52-week range Rs 283-580)</w:t>
            </w:r>
          </w:p>
        </w:tc>
      </w:tr>
      <w:tr>
        <w:tc>
          <w:tcPr>
            <w:tcW w:type="dxa" w:w="3200"/>
            <w:shd w:fill="F2F2F2" w:val="clear"/>
          </w:tcPr>
          <w:p>
            <w:r>
              <w:rPr>
                <w:b/>
                <w:bCs/>
              </w:rPr>
              <w:t xml:space="preserve">FY26 revenue / PAT</w:t>
            </w:r>
          </w:p>
        </w:tc>
        <w:tc>
          <w:tcPr>
            <w:tcW w:type="dxa" w:w="5800"/>
          </w:tcPr>
          <w:p>
            <w:r>
              <w:t xml:space="preserve">Revenue ~Rs 949 Cr (+121% YoY); PAT ~Rs 103 Cr</w:t>
            </w:r>
          </w:p>
        </w:tc>
      </w:tr>
      <w:tr>
        <w:tc>
          <w:tcPr>
            <w:tcW w:type="dxa" w:w="3200"/>
            <w:shd w:fill="F2F2F2" w:val="clear"/>
          </w:tcPr>
          <w:p>
            <w:r>
              <w:rPr>
                <w:b/>
                <w:bCs/>
              </w:rPr>
              <w:t xml:space="preserve">Q3FY26</w:t>
            </w:r>
          </w:p>
        </w:tc>
        <w:tc>
          <w:tcPr>
            <w:tcW w:type="dxa" w:w="5800"/>
          </w:tcPr>
          <w:p>
            <w:r>
              <w:t xml:space="preserve">Revenue +~400% YoY, profit +~340% YoY (press-release framing)</w:t>
            </w:r>
          </w:p>
        </w:tc>
      </w:tr>
      <w:tr>
        <w:tc>
          <w:tcPr>
            <w:tcW w:type="dxa" w:w="3200"/>
            <w:shd w:fill="F2F2F2" w:val="clear"/>
          </w:tcPr>
          <w:p>
            <w:r>
              <w:rPr>
                <w:b/>
                <w:bCs/>
              </w:rPr>
              <w:t xml:space="preserve">Order book / pipeline</w:t>
            </w:r>
          </w:p>
        </w:tc>
        <w:tc>
          <w:tcPr>
            <w:tcW w:type="dxa" w:w="5800"/>
          </w:tcPr>
          <w:p>
            <w:r>
              <w:t xml:space="preserve">Confirmed order book ~Rs 1,398 Cr (Q4FY26); bid pipeline ~Rs 16,000 Cr</w:t>
            </w:r>
          </w:p>
        </w:tc>
      </w:tr>
      <w:tr>
        <w:tc>
          <w:tcPr>
            <w:tcW w:type="dxa" w:w="3200"/>
            <w:shd w:fill="F2F2F2" w:val="clear"/>
          </w:tcPr>
          <w:p>
            <w:r>
              <w:rPr>
                <w:b/>
                <w:bCs/>
              </w:rPr>
              <w:t xml:space="preserve">Valuation</w:t>
            </w:r>
          </w:p>
        </w:tc>
        <w:tc>
          <w:tcPr>
            <w:tcW w:type="dxa" w:w="5800"/>
          </w:tcPr>
          <w:p>
            <w:r>
              <w:t xml:space="preserve">~8x trailing P/E</w:t>
            </w:r>
          </w:p>
        </w:tc>
      </w:tr>
      <w:tr>
        <w:tc>
          <w:tcPr>
            <w:tcW w:type="dxa" w:w="3200"/>
            <w:shd w:fill="F2F2F2" w:val="clear"/>
          </w:tcPr>
          <w:p>
            <w:r>
              <w:rPr>
                <w:b/>
                <w:bCs/>
              </w:rPr>
              <w:t xml:space="preserve">Cash flow</w:t>
            </w:r>
          </w:p>
        </w:tc>
        <w:tc>
          <w:tcPr>
            <w:tcW w:type="dxa" w:w="5800"/>
          </w:tcPr>
          <w:p>
            <w:r>
              <w:t xml:space="preserve">FY26 operating cash flow NEGATIVE ~Rs 163 Cr, worse than the prior year; large unbilled-revenue build in other current assets</w:t>
            </w:r>
          </w:p>
        </w:tc>
      </w:tr>
      <w:tr>
        <w:tc>
          <w:tcPr>
            <w:tcW w:type="dxa" w:w="3200"/>
            <w:shd w:fill="F2F2F2" w:val="clear"/>
          </w:tcPr>
          <w:p>
            <w:r>
              <w:rPr>
                <w:b/>
                <w:bCs/>
              </w:rPr>
              <w:t xml:space="preserve">Promoter holding</w:t>
            </w:r>
          </w:p>
        </w:tc>
        <w:tc>
          <w:tcPr>
            <w:tcW w:type="dxa" w:w="5800"/>
          </w:tcPr>
          <w:p>
            <w:r>
              <w:t xml:space="preserve">~62.7% (stable)</w:t>
            </w:r>
          </w:p>
        </w:tc>
      </w:tr>
    </w:tbl>
    <w:p>
      <w:pPr>
        <w:spacing w:after="100"/>
      </w:pPr>
    </w:p>
    <w:p>
      <w:pPr>
        <w:spacing w:after="120"/>
      </w:pPr>
      <w:r>
        <w:t xml:space="preserve">On the surface this is a screen-friendly setup: revenue more than doubled in FY26, the order book (~Rs 1,398 Cr) is ~1.5x FY26 revenue, the bid pipeline is enormous relative to size, and the stock trades at only ~8x earnings after a ~33% one-year decline. The decline is the tell. FY26 operating cash flow was negative ~Rs 163 Cr against ~Rs 103 Cr of reported profit, and it worsened year-on-year; the gap sits in a large unbilled-revenue build, with receivables/unbilled rising faster than sales - the textbook signature of aggressive percentage-of-completion revenue recognition. Reported debtor days improved (~59 to ~34), but that does not offset Rs 163 Cr of cash burn. An EPC contractor whose profit is not converting to cash while it scales rapidly is exactly what the screen's quality gate exists to catch, and the market appears to have already concluded the same.</w:t>
      </w:r>
    </w:p>
    <w:p>
      <w:pPr>
        <w:pStyle w:val="Heading1"/>
        <w:spacing w:after="120" w:before="280"/>
      </w:pPr>
      <w:r>
        <w:t xml:space="preserve">Technical Read (Weekly / Monthly MACD + Bollinger Bands, or RSI/CCI/Williams %R proxy)</w:t>
      </w:r>
    </w:p>
    <w:p>
      <w:pPr>
        <w:spacing w:after="120"/>
      </w:pPr>
      <w:r>
        <w:t xml:space="preserve">Not pulled - filtered on earnings quality. Stock down ~33% over one year / ~25% over six months despite blockbuster headline growth.</w:t>
      </w:r>
    </w:p>
    <w:p>
      <w:pPr>
        <w:pStyle w:val="Heading1"/>
        <w:spacing w:after="120" w:before="280"/>
      </w:pPr>
      <w:r>
        <w:t xml:space="preserve">ValuePickr Community Signal</w:t>
      </w:r>
    </w:p>
    <w:p>
      <w:pPr>
        <w:spacing w:after="120"/>
      </w:pPr>
      <w:r>
        <w:t xml:space="preserve">No ValuePickr thread exists (forum search returned nothing). Step 3.05: no match; topic_slug null. Research is web/filings-based only.</w:t>
      </w:r>
    </w:p>
    <w:p>
      <w:pPr>
        <w:spacing w:after="120"/>
      </w:pPr>
      <w:r>
        <w:rPr>
          <w:b/>
          <w:bCs/>
          <w:sz w:val="20"/>
          <w:szCs w:val="20"/>
        </w:rPr>
        <w:t xml:space="preserve">High-conviction call from a top contributor: </w:t>
      </w:r>
      <w:r>
        <w:rPr>
          <w:sz w:val="20"/>
          <w:szCs w:val="20"/>
        </w:rPr>
        <w:t xml:space="preserve">None - Sovrenn-news seed only.</w:t>
      </w:r>
    </w:p>
    <w:p>
      <w:pPr>
        <w:pStyle w:val="Heading1"/>
        <w:spacing w:after="120" w:before="280"/>
      </w:pPr>
      <w:r>
        <w:t xml:space="preserve">BSE Corporate Actions / Other Red Flags</w:t>
      </w:r>
    </w:p>
    <w:p>
      <w:pPr>
        <w:spacing w:after="120"/>
      </w:pPr>
      <w:r>
        <w:t xml:space="preserve">FY26 results: revenue ~Rs 949 Cr (+121%), PAT ~Rs 103 Cr, confirmed order book ~Rs 1,398 Cr. Sovrenn note (2026-04-02): new orders Rs 125 Cr (Reliance Consumer Products Rs 102 Cr, EDAC Rs 17 Cr, Anabond Rs 4 Cr); order book then Rs 991 Cr, YTD inflow Rs 1,097 Cr, project pipeline Rs 18,417 Cr. Q1FY27 results reported as 'robust' in the investor presentation (not independently verified here).</w:t>
      </w:r>
    </w:p>
    <w:p>
      <w:pPr>
        <w:pStyle w:val="Heading1"/>
        <w:spacing w:after="120" w:before="280"/>
      </w:pPr>
      <w:r>
        <w:t xml:space="preserve">Bull Case</w:t>
      </w:r>
    </w:p>
    <w:p>
      <w:pPr>
        <w:pStyle w:val="ListParagraph"/>
        <w:numPr>
          <w:ilvl w:val="0"/>
          <w:numId w:val="1"/>
        </w:numPr>
        <w:spacing w:after="60"/>
      </w:pPr>
      <w:r>
        <w:t xml:space="preserve">Explosive reported growth (FY26 revenue +121%) with a large confirmed order book (~1.5x revenue) and a very large bid pipeline relative to a ~Rs 819 Cr market cap</w:t>
      </w:r>
    </w:p>
    <w:p>
      <w:pPr>
        <w:pStyle w:val="ListParagraph"/>
        <w:numPr>
          <w:ilvl w:val="0"/>
          <w:numId w:val="1"/>
        </w:numPr>
        <w:spacing w:after="60"/>
      </w:pPr>
      <w:r>
        <w:t xml:space="preserve">Optically cheap at ~8x earnings after a sharp de-rate; stable ~62.7% promoter holding</w:t>
      </w:r>
    </w:p>
    <w:p>
      <w:pPr>
        <w:pStyle w:val="ListParagraph"/>
        <w:numPr>
          <w:ilvl w:val="0"/>
          <w:numId w:val="1"/>
        </w:numPr>
        <w:spacing w:after="60"/>
      </w:pPr>
      <w:r>
        <w:t xml:space="preserve">Diversified turnkey EPC capability (civil + PEB + MEP + solar + fit-out) with marquee industrial clients (Reliance Consumer Products)</w:t>
      </w:r>
    </w:p>
    <w:p>
      <w:pPr>
        <w:pStyle w:val="Heading1"/>
        <w:spacing w:after="120" w:before="280"/>
      </w:pPr>
      <w:r>
        <w:t xml:space="preserve">Bear Case / Key Risks</w:t>
      </w:r>
    </w:p>
    <w:p>
      <w:pPr>
        <w:pStyle w:val="ListParagraph"/>
        <w:numPr>
          <w:ilvl w:val="0"/>
          <w:numId w:val="1"/>
        </w:numPr>
        <w:spacing w:after="60"/>
      </w:pPr>
      <w:r>
        <w:t xml:space="preserve">FY26 operating cash flow negative ~Rs 163 Cr vs ~Rs 103 Cr reported profit, and worsening - profit is not converting to cash</w:t>
      </w:r>
    </w:p>
    <w:p>
      <w:pPr>
        <w:pStyle w:val="ListParagraph"/>
        <w:numPr>
          <w:ilvl w:val="0"/>
          <w:numId w:val="1"/>
        </w:numPr>
        <w:spacing w:after="60"/>
      </w:pPr>
      <w:r>
        <w:t xml:space="preserve">Large unbilled-revenue build; receivables/unbilled rising faster than sales - signature of aggressive percentage-of-completion revenue recognition</w:t>
      </w:r>
    </w:p>
    <w:p>
      <w:pPr>
        <w:pStyle w:val="ListParagraph"/>
        <w:numPr>
          <w:ilvl w:val="0"/>
          <w:numId w:val="1"/>
        </w:numPr>
        <w:spacing w:after="60"/>
      </w:pPr>
      <w:r>
        <w:t xml:space="preserve">Stock down ~33% in a year despite headline growth - the market is discounting the reported numbers</w:t>
      </w:r>
    </w:p>
    <w:p>
      <w:pPr>
        <w:pStyle w:val="ListParagraph"/>
        <w:numPr>
          <w:ilvl w:val="0"/>
          <w:numId w:val="1"/>
        </w:numPr>
        <w:spacing w:after="60"/>
      </w:pPr>
      <w:r>
        <w:t xml:space="preserve">SME EPC: lumpy, working-capital-heavy, customer-concentrated (Reliance), thin disclosure, no ValuePickr or trusted-community coverage; Sovrenn datapoint is an unverified lead</w:t>
      </w:r>
    </w:p>
    <w:p>
      <w:pPr>
        <w:pStyle w:val="Heading1"/>
        <w:spacing w:after="120" w:before="280"/>
      </w:pPr>
      <w:r>
        <w:t xml:space="preserve">Market-Cap Tier (informational — not a gate in this project)</w:t>
      </w:r>
    </w:p>
    <w:p>
      <w:pPr>
        <w:spacing w:after="120"/>
      </w:pPr>
      <w:r>
        <w:rPr>
          <w:b/>
          <w:bCs/>
        </w:rPr>
        <w:t xml:space="preserve">Small-cap SME (~Rs 819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Filtered on earnings quality - headline growth and a cheap multiple do not survive a FY26 operating cash outflow of ~Rs 163 Cr against ~Rs 103 Cr of reported profit</w:t>
      </w:r>
    </w:p>
    <w:p>
      <w:pPr>
        <w:pStyle w:val="ListParagraph"/>
        <w:numPr>
          <w:ilvl w:val="0"/>
          <w:numId w:val="1"/>
        </w:numPr>
        <w:spacing w:after="60"/>
      </w:pPr>
      <w:r>
        <w:t xml:space="preserve">Sovrenn-news seed (tier 4.65). The Sovrenn datapoint (Rs 125 Cr order batch, &gt;100% FY26 turnover growth, large order book/pipeline) is directionally accurate, but the FY26 filing shows the growth is not cash-backed: operating cash flow negative ~Rs 163 Cr, worsening, driven by an unbilled-revenue build</w:t>
      </w:r>
    </w:p>
    <w:p>
      <w:pPr>
        <w:pStyle w:val="ListParagraph"/>
        <w:numPr>
          <w:ilvl w:val="0"/>
          <w:numId w:val="1"/>
        </w:numPr>
        <w:spacing w:after="60"/>
      </w:pPr>
      <w:r>
        <w:t xml:space="preserve">No formal red_flag_tier (no SEBI action, going concern, auditor resignation or promoter-holding collapse - promoter stake stable ~62.7%), but the aggressive-revenue-recognition pattern is a serious quality concern that caps conviction at Low and sets thesis_fit to neither despite the small base and low multiple</w:t>
      </w:r>
    </w:p>
    <w:p>
      <w:pPr>
        <w:pStyle w:val="ListParagraph"/>
        <w:numPr>
          <w:ilvl w:val="0"/>
          <w:numId w:val="1"/>
        </w:numPr>
        <w:spacing w:after="60"/>
      </w:pPr>
      <w:r>
        <w:t xml:space="preserve">No live-theme match (generic industrial EPC). Revisit only if a future year shows operating cash flow turning clearly positive and the unbilled-revenue balance normalising relative to sales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2026-09-02T12:53:11.747Z</dcterms:created>
  <dcterms:modified xsi:type="dcterms:W3CDTF">2026-09-02T12:53:11.751Z</dcterms:modified>
</cp:coreProperties>
</file>

<file path=docProps/custom.xml><?xml version="1.0" encoding="utf-8"?>
<Properties xmlns="http://schemas.openxmlformats.org/officeDocument/2006/custom-properties" xmlns:vt="http://schemas.openxmlformats.org/officeDocument/2006/docPropsVTypes"/>
</file>