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Satin Creditcare Network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Microfinance NBFC potentially benefiting as banks pull back from MFI lending, but weak ROE and inherent sector asset-quality risk temper the case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Satin Creditcare Network is a non-deposit-taking NBFC-MFI providing microfinance loans primarily to rural women in India, competing with players like Muthoot in the microfinance lending space.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2,486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7.3-7.9% (weak)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11.5-19% (sources vary)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 forecast</w:t>
            </w:r>
          </w:p>
        </w:tc>
        <w:tc>
          <w:tcPr>
            <w:tcW w:type="dxa" w:w="5800"/>
          </w:tcPr>
          <w:p>
            <w:r>
              <w:t xml:space="preserve">~11.1%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Debt/Equity</w:t>
            </w:r>
          </w:p>
        </w:tc>
        <w:tc>
          <w:tcPr>
            <w:tcW w:type="dxa" w:w="5800"/>
          </w:tcPr>
          <w:p>
            <w:r>
              <w:t xml:space="preserve">3.46 (high, typical for a lending NBFC)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Roughly Rs 133-178 (recent), wider historical range Rs 81.55-178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ROE of 7.3-7.9% is weak for an NBFC lender (where high leverage should normally amplify equity returns), suggesting either margin compression or elevated credit costs. High D/E (3.46) is structurally normal for a lending business but raises the stakes on asset quality. Revenue growth forecast (~11%) is moderate, not standout.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beyond the 52-week range noted in fundamentals (roughly Rs 133-178 in the recent window) — insufficient to characterize trend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Active thread (315 replies, last activity 2026-08-10) with the latest post pointing to a favorable industry-structure shift rather than company-specific news.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thakurvi (2026-08-10 post, 1 love) noted that banks are 'going less aggressive' in MFI lending, which is 'good news for large players like Satin and Muthoot' as it channels more demand to established NBFC-MFIs. A brief but specific sector-structure observation rather than a deep company thesis. posts_seen=1.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2026-08-30 — vikas_sinha (trusted, elevated-tier)</w:t>
      </w:r>
      <w:r>
        <w:rPr>
          <w:i/>
          <w:iCs/>
          <w:color w:val="666666"/>
          <w:sz w:val="18"/>
          <w:szCs w:val="18"/>
        </w:rPr>
        <w:t xml:space="preserve"> (The Anti-Portfolio)</w:t>
      </w:r>
      <w:r>
        <w:rPr>
          <w:sz w:val="20"/>
          <w:szCs w:val="20"/>
        </w:rPr>
        <w:br/>
        <w:t xml:space="preserve">: SUPERSEDES the 2026-08-03 entry. post #837 (2026-08-30): "Sold out Satin credit, held for 4 weeks, bought GSM foils" - explicit exit after a 4-week hold. Assam flood / rural-agri drag and el-nino cited. trusted_conviction trio cleared on state.json.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2026-08-22 — vikas_sinha</w:t>
      </w:r>
      <w:r>
        <w:rPr>
          <w:i/>
          <w:iCs/>
          <w:color w:val="666666"/>
          <w:sz w:val="18"/>
          <w:szCs w:val="18"/>
        </w:rPr>
        <w:t xml:space="preserve"> (The Anti-Portfolio)</w:t>
      </w:r>
      <w:r>
        <w:rPr>
          <w:sz w:val="20"/>
          <w:szCs w:val="20"/>
        </w:rPr>
        <w:br/>
        <w:t xml:space="preserve">: "Sold out Zen technologies, entered Satin credit... good observation about changing business dynamics from @hitesh2710" (post #821, 2026-08-03) - high conviction, new position.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checked this pass — no red-flag corporate actions surfaced.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Banks retreating from MFI lending could funnel incremental loan demand to established players like Satin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Microfinance remains a large, underpenetrated rural-lending opportunity in India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Moderate revenue growth forecast (~11%) suggests steady, if unspectacular, business continuity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ROE of only 7.3-7.9% is weak for a leveraged NBFC lender — doesn't clear this screen's quality bar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Indian microfinance sector has had repeated asset-quality stress episodes (over-indebtedness, state-level interventions) in recent years — a structural sector risk even absent company-specific red flags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 leverage (D/E 3.46) amplifies downside if credit costs rise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2,486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 — weak ROE and sector-level credit-quality risk in Indian microfinance don't support a 10x-in-2-3-years or 100x-in-10-years case despite a plausible near-term demand tailwind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Weak returns and sector-risk profile keep this off the conviction list despite a favorable demand-shift narrative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ROE (7.3-7.9%) fails the quality bar for a leveraged lending business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MFI sector carries recurring asset-quality/regulatory risk that isn't specific to Satin but weighs on the thesis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bank-pullback tailwind is real but incremental, not transformational, at this fundamentals profile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2026-08-30T13:34:20.963Z</dcterms:created>
  <dcterms:modified xsi:type="dcterms:W3CDTF">2026-08-30T13:34:20.964Z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