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Senores Pharmaceuticals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Consistently beating its own aggressive growth guidance, but already re-rated hard and trading at a rich multiple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Senores Pharmaceuticals makes complex generics, specialty pharmaceutical products, critical care injectables and APIs, with growing regulated-market exposure (including via the Apnar acquisition) and an expanding ANDA pipeline.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7,238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15.1%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13.4%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Stock P/E</w:t>
            </w:r>
          </w:p>
        </w:tc>
        <w:tc>
          <w:tcPr>
            <w:tcW w:type="dxa" w:w="5800"/>
          </w:tcPr>
          <w:p>
            <w:r>
              <w:t xml:space="preserve">57.3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 FY26</w:t>
            </w:r>
          </w:p>
        </w:tc>
        <w:tc>
          <w:tcPr>
            <w:tcW w:type="dxa" w:w="5800"/>
          </w:tcPr>
          <w:p>
            <w:r>
              <w:t xml:space="preserve">~62%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+30.6% YoY, PAT +56% YoY, revenue +36% per concall summary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662 - 1,574 (currently near the high)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Genuinely exceptional recent execution: FY26 revenue grew ~62%, and management's own FY26 guidance (50% topline, 100% bottomline growth) was exceeded. Q1 FY27 continued the trend with 36% revenue and 56% PAT growth, turning solidly cash-flow positive. The catch is valuation -- P/E of 57.3 and the stock trading near its 52-week high means much of this growth is already priced in.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checked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most recent 50 of only 20 posts fetched (thread activity is light but consistently positive; no escalation triggered).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trusted-roster users posted in this thread. Chandan_Sharma posted detailed, credible concall summaries for both Q4 FY26 (co outperformed its own 50%/100% topline/bottomline guidance, regulated markets 64% of revenue via the Apnar acquisition, turned CFO-positive with Rs 62 Cr) and Q1 FY27 (36% revenue growth, 56% PAT growth, 7 new ANDA approvals taking total to 58, FY27 growth guidance reiterated). hitesh_gangwani (Jun 2026) disclosed a small personal buy with an appropriate non-advisory disclaimer -- a minor positive-sentiment data point, not a substantive thesis contribution.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checked.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Rare combination of consistently beating aggressive self-set guidance across multiple consecutive quarters (FY26 and Q1 FY27 both)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Expanding regulated-market exposure and a growing ANDA pipeline (58 approved, 23 commercialized) support continued multi-year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Turned solidly cash-flow positive, addressing a common generics-pharma quality concern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growth guidance reiterated as intact per the most recent concall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P/E of 57.3, trading near its 52-week high, means significant future growth is likely already priced 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Thread activity is thin (only 20 posts total) -- limited independent community scrutiny or bear-case stress-testing has happened yet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new facilities added in the most recent quarter -- near-term growth depends on ramping existing capacity/pipeline rather than fresh capex-driven expansion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7,238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Best-in-batch execution track record this run, but valuation has already caught up to the growth story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Consistently exceeding aggressive guidance across consecutive quarters, with a genuine multi-year growth pipeline (ANDA approvals, regulated-market mix shift), is exactly the kind of recent-quarter-inflection evidence this screen weights heavily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at P/E 57.3 near a 52-week high, this is a momentum/growth-continuation bet rather than a mispriced opportunity -- conviction reflects strong execution quality tempered by valuation risk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Thin community coverage (20 posts) means limited independent stress-testing of the bull case has occurred so far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2026-08-25T03:18:06.048Z</dcterms:created>
  <dcterms:modified xsi:type="dcterms:W3CDTF">2026-08-25T03:18:06.049Z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