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Shilpa Medicare Ltd</w:t>
      </w:r>
    </w:p>
    <w:p>
      <w:pPr>
        <w:pBdr>
          <w:bottom w:val="single" w:color="CCCCCC" w:sz="6" w:space="8"/>
        </w:pBdr>
        <w:spacing w:after="200"/>
      </w:pPr>
      <w:r>
        <w:rPr>
          <w:i/>
          <w:iCs/>
          <w:color w:val="666666"/>
          <w:sz w:val="22"/>
          <w:szCs w:val="22"/>
        </w:rPr>
        <w:t xml:space="preserve">Broad FY26 oncology-API/CDMO inflection (rev +18%, EBITDA +30%, adj PAT +135%) with a dated FY27-28 launch pipeline, but a fresh Jadcherla USFDA Form 483, single-digit reported returns and a ~Rs 17,400 Cr market cap cap the upside</w:t>
      </w:r>
    </w:p>
    <w:p>
      <w:pPr>
        <w:pStyle w:val="Heading1"/>
        <w:spacing w:after="120" w:before="280"/>
      </w:pPr>
      <w:r>
        <w:t xml:space="preserve">Business Overview</w:t>
      </w:r>
    </w:p>
    <w:p>
      <w:pPr>
        <w:spacing w:after="120"/>
      </w:pPr>
      <w:r>
        <w:t xml:space="preserve">Shilpa Medicare is a pharmaceutical API and CDMO company pivoting toward oncology (APIs, biologics, NCEs, peptides, transdermal, OTF/orally-disintegrating-film formulations) with partnerships including CDMO licensing deals for Lantern Pharma's oncology molecules (LP-184, LP-284).</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17,400 Cr (up ~90% in 1 year)</w:t>
            </w:r>
          </w:p>
        </w:tc>
      </w:tr>
      <w:tr>
        <w:tc>
          <w:tcPr>
            <w:tcW w:type="dxa" w:w="3200"/>
            <w:shd w:fill="F2F2F2" w:val="clear"/>
          </w:tcPr>
          <w:p>
            <w:r>
              <w:rPr>
                <w:b/>
                <w:bCs/>
              </w:rPr>
              <w:t xml:space="preserve">ROE</w:t>
            </w:r>
          </w:p>
        </w:tc>
        <w:tc>
          <w:tcPr>
            <w:tcW w:type="dxa" w:w="5800"/>
          </w:tcPr>
          <w:p>
            <w:r>
              <w:t xml:space="preserve">~9% reported (3yr avg ~5.4%)</w:t>
            </w:r>
          </w:p>
        </w:tc>
      </w:tr>
      <w:tr>
        <w:tc>
          <w:tcPr>
            <w:tcW w:type="dxa" w:w="3200"/>
            <w:shd w:fill="F2F2F2" w:val="clear"/>
          </w:tcPr>
          <w:p>
            <w:r>
              <w:rPr>
                <w:b/>
                <w:bCs/>
              </w:rPr>
              <w:t xml:space="preserve">ROCE</w:t>
            </w:r>
          </w:p>
        </w:tc>
        <w:tc>
          <w:tcPr>
            <w:tcW w:type="dxa" w:w="5800"/>
          </w:tcPr>
          <w:p>
            <w:r>
              <w:t xml:space="preserve">~11% reported; ~17.4% adjusted (ex biologics/NBE), up from ~4% in FY23</w:t>
            </w:r>
          </w:p>
        </w:tc>
      </w:tr>
      <w:tr>
        <w:tc>
          <w:tcPr>
            <w:tcW w:type="dxa" w:w="3200"/>
            <w:shd w:fill="F2F2F2" w:val="clear"/>
          </w:tcPr>
          <w:p>
            <w:r>
              <w:rPr>
                <w:b/>
                <w:bCs/>
              </w:rPr>
              <w:t xml:space="preserve">Revenue growth</w:t>
            </w:r>
          </w:p>
        </w:tc>
        <w:tc>
          <w:tcPr>
            <w:tcW w:type="dxa" w:w="5800"/>
          </w:tcPr>
          <w:p>
            <w:r>
              <w:t xml:space="preserve">FY26 revenue +18% to Rs 1,549 Cr; Q1 FY27 revenue +45% YoY to Rs 469 Cr, PAT +115% to Rs 101 Cr</w:t>
            </w:r>
          </w:p>
        </w:tc>
      </w:tr>
      <w:tr>
        <w:tc>
          <w:tcPr>
            <w:tcW w:type="dxa" w:w="3200"/>
            <w:shd w:fill="F2F2F2" w:val="clear"/>
          </w:tcPr>
          <w:p>
            <w:r>
              <w:rPr>
                <w:b/>
                <w:bCs/>
              </w:rPr>
              <w:t xml:space="preserve">Recent quarter/catalyst</w:t>
            </w:r>
          </w:p>
        </w:tc>
        <w:tc>
          <w:tcPr>
            <w:tcW w:type="dxa" w:w="5800"/>
          </w:tcPr>
          <w:p>
            <w:r>
              <w:t xml:space="preserve">Q1 FY27 (Jun-26): record revenue, PAT +115% YoY on licensing + EU/US formulation + biologics; ADC GMP facility commissioned Jun-26; Nov-25 Jadcherla Form 483 (8 obs) unresolved</w:t>
            </w:r>
          </w:p>
        </w:tc>
      </w:tr>
      <w:tr>
        <w:tc>
          <w:tcPr>
            <w:tcW w:type="dxa" w:w="3200"/>
            <w:shd w:fill="F2F2F2" w:val="clear"/>
          </w:tcPr>
          <w:p>
            <w:r>
              <w:rPr>
                <w:b/>
                <w:bCs/>
              </w:rPr>
              <w:t xml:space="preserve">52-week range</w:t>
            </w:r>
          </w:p>
        </w:tc>
        <w:tc>
          <w:tcPr>
            <w:tcW w:type="dxa" w:w="5800"/>
          </w:tcPr>
          <w:p>
            <w:r>
              <w:t xml:space="preserve">Rs 259.50 - 753.80</w:t>
            </w:r>
          </w:p>
        </w:tc>
      </w:tr>
      <w:tr>
        <w:tc>
          <w:tcPr>
            <w:tcW w:type="dxa" w:w="3200"/>
            <w:shd w:fill="F2F2F2" w:val="clear"/>
          </w:tcPr>
          <w:p>
            <w:r>
              <w:rPr>
                <w:b/>
                <w:bCs/>
              </w:rPr>
              <w:t xml:space="preserve">Net debt / D/E</w:t>
            </w:r>
          </w:p>
        </w:tc>
        <w:tc>
          <w:tcPr>
            <w:tcW w:type="dxa" w:w="5800"/>
          </w:tcPr>
          <w:p>
            <w:r>
              <w:t xml:space="preserve">Net debt ~Rs 613 Cr; net debt/EBITDA ~1.4x; gross D/E ~0.25</w:t>
            </w:r>
          </w:p>
        </w:tc>
      </w:tr>
    </w:tbl>
    <w:p>
      <w:pPr>
        <w:spacing w:after="100"/>
      </w:pPr>
    </w:p>
    <w:p>
      <w:pPr>
        <w:spacing w:after="120"/>
      </w:pPr>
      <w:r>
        <w:t xml:space="preserve">The inflection is now a full-year FY26 trend, not one quarter: revenue Rs 1,549 Cr (+18%), EBITDA Rs 445 Cr (~29% margin, up from 21% in FY24), adjusted PAT Rs 232 Cr (+135%), with operating cash flow at 141% of PAT. FY26 segment mix: API Rs 769 Cr (oncology Rs 455 Cr), formulations Rs 618 Cr (EU Rs 223 Cr, US Rs 80 Cr), biologics Rs 150 Cr (doubled YoY). Q1 FY27 accelerated further (revenue +45% YoY, PAT +115%). Adjusted ROCE has climbed from ~4% (FY23) to ~17.4%, but reported ROE/ROCE are still single-digit (~9%/11%) because the biologics/NBE capital block does not yet earn a return. Net debt is ~Rs 613 Cr (1.4x EBITDA, improving) - the prior write-up's 'D/E 0.05' was incorrect. Against this, a fresh Nov-2025 USFDA Form 483 with 8 observations at the Jadcherla Unit IV sterile-injectables export site (which carried a 2020 warning letter, since resolved), a Raichur Form 483 (Mar-2025) and a July-2026 Class II Pemetrexed recall are a live regulatory-quality overhang that corroborates a trusted holder's caution.</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2026-09-01.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FY23-FY26 annuals via screener.in - revenue 1,046 -&gt; 1,146 -&gt; 1,281 -&gt; 1,549 Cr, OPM 9% -&gt; 21% -&gt; 25% -&gt; 29%, PAT (31) -&gt; 32 -&gt; 78 -&gt; 243 Cr; borrowings, cash-flow, shareholding</w:t>
      </w:r>
    </w:p>
    <w:p>
      <w:pPr>
        <w:pStyle w:val="ListParagraph"/>
        <w:numPr>
          <w:ilvl w:val="0"/>
          <w:numId w:val="1"/>
        </w:numPr>
        <w:spacing w:after="60"/>
      </w:pPr>
      <w:r>
        <w:t xml:space="preserve">FY26 + Q1 FY27 concall / results coverage (InvestyWise, Multibagg, Angel One, Dealroom) - segment mix, licensing target, capex, pipeline milestones</w:t>
      </w:r>
    </w:p>
    <w:p>
      <w:pPr>
        <w:pStyle w:val="ListParagraph"/>
        <w:numPr>
          <w:ilvl w:val="0"/>
          <w:numId w:val="1"/>
        </w:numPr>
        <w:spacing w:after="60"/>
      </w:pPr>
      <w:r>
        <w:t xml:space="preserve">USFDA inspection history - Jadcherla Unit IV Form 483 (8 obs, Nov 12-21 2025), Raichur Form 483 (1 obs, Mar 2025), 2020 Jadcherla warning letter (since resolved)</w:t>
      </w:r>
    </w:p>
    <w:p>
      <w:pPr>
        <w:pStyle w:val="ListParagraph"/>
        <w:numPr>
          <w:ilvl w:val="0"/>
          <w:numId w:val="1"/>
        </w:numPr>
        <w:spacing w:after="60"/>
      </w:pPr>
      <w:r>
        <w:t xml:space="preserve">Jul-2026 voluntary US Pemetrexed recall (Class II, 27,923 vials)</w:t>
      </w:r>
    </w:p>
    <w:p>
      <w:pPr>
        <w:spacing w:after="120"/>
      </w:pPr>
      <w:r>
        <w:rPr>
          <w:b/>
          <w:bCs/>
          <w:sz w:val="20"/>
          <w:szCs w:val="20"/>
        </w:rPr>
        <w:t xml:space="preserve">Annual-report findings (3-year view):</w:t>
      </w:r>
    </w:p>
    <w:p>
      <w:pPr>
        <w:pStyle w:val="ListParagraph"/>
        <w:numPr>
          <w:ilvl w:val="0"/>
          <w:numId w:val="1"/>
        </w:numPr>
        <w:spacing w:after="60"/>
      </w:pPr>
      <w:r>
        <w:t xml:space="preserve">FY26: revenue Rs 1,549 Cr (+18%), EBITDA Rs 445 Cr (~29% margin, up from 21% in FY24, +30% YoY), adjusted PAT Rs 232 Cr (+135%), reported PAT ~Rs 243 Cr</w:t>
      </w:r>
    </w:p>
    <w:p>
      <w:pPr>
        <w:pStyle w:val="ListParagraph"/>
        <w:numPr>
          <w:ilvl w:val="0"/>
          <w:numId w:val="1"/>
        </w:numPr>
        <w:spacing w:after="60"/>
      </w:pPr>
      <w:r>
        <w:t xml:space="preserve">FY26 segment mix: API Rs 769 Cr (oncology Rs 455 Cr, non-onco Rs 390 Cr), formulations Rs 618 Cr (EU Rs 223 Cr, US Rs 80 Cr), biologics Rs 150 Cr (doubled YoY), others Rs 12 Cr</w:t>
      </w:r>
    </w:p>
    <w:p>
      <w:pPr>
        <w:pStyle w:val="ListParagraph"/>
        <w:numPr>
          <w:ilvl w:val="0"/>
          <w:numId w:val="1"/>
        </w:numPr>
        <w:spacing w:after="60"/>
      </w:pPr>
      <w:r>
        <w:t xml:space="preserve">Net debt Rs 613 Cr, net debt/EBITDA down to ~1.4x; borrowings Rs 937 Cr (FY24) -&gt; Rs 588 Cr (FY25) -&gt; Rs 660 Cr (FY26); gross D/E ~0.25 (prior write-up's 0.05 was wrong)</w:t>
      </w:r>
    </w:p>
    <w:p>
      <w:pPr>
        <w:pStyle w:val="ListParagraph"/>
        <w:numPr>
          <w:ilvl w:val="0"/>
          <w:numId w:val="1"/>
        </w:numPr>
        <w:spacing w:after="60"/>
      </w:pPr>
      <w:r>
        <w:t xml:space="preserve">FY26 OCF Rs 342 Cr vs PAT Rs 243 Cr (141%); net capex Rs 361 Cr so FCF ~breakeven; mgmt says the big capex cycle is largely complete</w:t>
      </w:r>
    </w:p>
    <w:p>
      <w:pPr>
        <w:pStyle w:val="ListParagraph"/>
        <w:numPr>
          <w:ilvl w:val="0"/>
          <w:numId w:val="1"/>
        </w:numPr>
        <w:spacing w:after="60"/>
      </w:pPr>
      <w:r>
        <w:t xml:space="preserve">Adjusted ROCE (ex biologics/NBE) 17.4% vs 4% in FY23; reported ROE ~9% / ROCE ~11% because biologics capital does not yet earn</w:t>
      </w:r>
    </w:p>
    <w:p>
      <w:pPr>
        <w:pStyle w:val="ListParagraph"/>
        <w:numPr>
          <w:ilvl w:val="0"/>
          <w:numId w:val="1"/>
        </w:numPr>
        <w:spacing w:after="60"/>
      </w:pPr>
      <w:r>
        <w:t xml:space="preserve">Promoter holding ~40.1%, flat through FY26 but down ~10pp over 3 years from equity raises; no pledge noted</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FY26 quarterly revenue 321 -&gt; 370 -&gt; 410 -&gt; 439; PAT 47 -&gt; 44 -&gt; 45 -&gt; 87 (adj); OPM steady ~28-29%</w:t>
      </w:r>
    </w:p>
    <w:p>
      <w:pPr>
        <w:pStyle w:val="ListParagraph"/>
        <w:numPr>
          <w:ilvl w:val="0"/>
          <w:numId w:val="1"/>
        </w:numPr>
        <w:spacing w:after="60"/>
      </w:pPr>
      <w:r>
        <w:t xml:space="preserve">Q1 FY27 (Jun-26): revenue ~Rs 469 Cr (+45% YoY), EBITDA ~Rs 139 Cr (~30%), PAT Rs 100.9 Cr (+115% YoY) - the biggest step-up, helped by licensing income and EU/US formulation + biologics growth</w:t>
      </w:r>
    </w:p>
    <w:p>
      <w:pPr>
        <w:pStyle w:val="ListParagraph"/>
        <w:numPr>
          <w:ilvl w:val="0"/>
          <w:numId w:val="1"/>
        </w:numPr>
        <w:spacing w:after="60"/>
      </w:pPr>
      <w:r>
        <w:t xml:space="preserve">ADC (antibody-drug conjugate) GMP facility commissioned Jun 2026, qualification protocols underway</w:t>
      </w:r>
    </w:p>
    <w:p>
      <w:pPr>
        <w:pStyle w:val="ListParagraph"/>
        <w:numPr>
          <w:ilvl w:val="0"/>
          <w:numId w:val="1"/>
        </w:numPr>
        <w:spacing w:after="60"/>
      </w:pPr>
      <w:r>
        <w:t xml:space="preserve">Concall tone confident; no formal revenue/PAT guidance; targets licensing income &gt;Rs 150 Cr p.a. and continued ROCE improvement</w:t>
      </w:r>
    </w:p>
    <w:p>
      <w:pPr>
        <w:spacing w:after="120"/>
      </w:pPr>
      <w:r>
        <w:rPr>
          <w:b/>
          <w:bCs/>
          <w:sz w:val="20"/>
          <w:szCs w:val="20"/>
        </w:rPr>
        <w:t xml:space="preserve">Exchange announcements (last 6 months):</w:t>
      </w:r>
    </w:p>
    <w:p>
      <w:pPr>
        <w:pStyle w:val="ListParagraph"/>
        <w:numPr>
          <w:ilvl w:val="0"/>
          <w:numId w:val="1"/>
        </w:numPr>
        <w:spacing w:after="60"/>
      </w:pPr>
      <w:r>
        <w:t xml:space="preserve">Nov 12-21 2025: 10-day USFDA inspection of Jadcherla Unit IV -&gt; Form 483 with 8 observations (none repeat); response filed</w:t>
      </w:r>
    </w:p>
    <w:p>
      <w:pPr>
        <w:pStyle w:val="ListParagraph"/>
        <w:numPr>
          <w:ilvl w:val="0"/>
          <w:numId w:val="1"/>
        </w:numPr>
        <w:spacing w:after="60"/>
      </w:pPr>
      <w:r>
        <w:t xml:space="preserve">Mar 2025: Raichur API unit Form 483 with 1 observation</w:t>
      </w:r>
    </w:p>
    <w:p>
      <w:pPr>
        <w:pStyle w:val="ListParagraph"/>
        <w:numPr>
          <w:ilvl w:val="0"/>
          <w:numId w:val="1"/>
        </w:numPr>
        <w:spacing w:after="60"/>
      </w:pPr>
      <w:r>
        <w:t xml:space="preserve">Jul 2026: voluntary US recall of 27,923 Pemetrexed vials (Class II)</w:t>
      </w:r>
    </w:p>
    <w:p>
      <w:pPr>
        <w:pStyle w:val="ListParagraph"/>
        <w:numPr>
          <w:ilvl w:val="0"/>
          <w:numId w:val="1"/>
        </w:numPr>
        <w:spacing w:after="60"/>
      </w:pPr>
      <w:r>
        <w:t xml:space="preserve">Rotigotine transdermal patch: EMA approval received, EU launch 1HFY27; US filing done, FY27 approval expected</w:t>
      </w:r>
    </w:p>
    <w:p>
      <w:pPr>
        <w:pStyle w:val="ListParagraph"/>
        <w:numPr>
          <w:ilvl w:val="0"/>
          <w:numId w:val="1"/>
        </w:numPr>
        <w:spacing w:after="60"/>
      </w:pPr>
      <w:r>
        <w:t xml:space="preserve">NorUDCA (first-in-class NAFLD) launched Nov FY26; Ondansetron ER injection positive India Ph3, FY27 domestic launch targeted</w:t>
      </w:r>
    </w:p>
    <w:p>
      <w:pPr>
        <w:pStyle w:val="ListParagraph"/>
        <w:numPr>
          <w:ilvl w:val="0"/>
          <w:numId w:val="1"/>
        </w:numPr>
        <w:spacing w:after="60"/>
      </w:pPr>
      <w:r>
        <w:t xml:space="preserve">Aug 2026: a Europe formulation deal cleared alongside Q1 FY27 board results</w:t>
      </w:r>
    </w:p>
    <w:p>
      <w:pPr>
        <w:spacing w:after="120"/>
      </w:pPr>
      <w:r>
        <w:rPr>
          <w:b/>
          <w:bCs/>
          <w:sz w:val="20"/>
          <w:szCs w:val="20"/>
        </w:rPr>
        <w:t xml:space="preserve">Key new facts vs. the prior write-up:</w:t>
      </w:r>
    </w:p>
    <w:p>
      <w:pPr>
        <w:pStyle w:val="ListParagraph"/>
        <w:numPr>
          <w:ilvl w:val="0"/>
          <w:numId w:val="1"/>
        </w:numPr>
        <w:spacing w:after="60"/>
      </w:pPr>
      <w:r>
        <w:t xml:space="preserve">The inflection is a full-year FY26 trend (rev +18%, EBITDA +30%, adj PAT +135%, margin 21%-&gt;29%) with 141% cash conversion - more durable than the prior one-quarter read</w:t>
      </w:r>
    </w:p>
    <w:p>
      <w:pPr>
        <w:pStyle w:val="ListParagraph"/>
        <w:numPr>
          <w:ilvl w:val="0"/>
          <w:numId w:val="1"/>
        </w:numPr>
        <w:spacing w:after="60"/>
      </w:pPr>
      <w:r>
        <w:t xml:space="preserve">Compliance concern is now concrete: fresh Nov-2025 Jadcherla Form 483 (8 obs) on a key sterile-injectables export site with a 2020 warning-letter history, plus a Raichur 483 and a July-2026 Class II recall - corroborates the trusted VALUE2017 flag</w:t>
      </w:r>
    </w:p>
    <w:p>
      <w:pPr>
        <w:pStyle w:val="ListParagraph"/>
        <w:numPr>
          <w:ilvl w:val="0"/>
          <w:numId w:val="1"/>
        </w:numPr>
        <w:spacing w:after="60"/>
      </w:pPr>
      <w:r>
        <w:t xml:space="preserve">Reported ROE/ROCE are still ~9%/11%; the 17.4% figure is 'adjusted' to exclude the biologics capital block</w:t>
      </w:r>
    </w:p>
    <w:p>
      <w:pPr>
        <w:pStyle w:val="ListParagraph"/>
        <w:numPr>
          <w:ilvl w:val="0"/>
          <w:numId w:val="1"/>
        </w:numPr>
        <w:spacing w:after="60"/>
      </w:pPr>
      <w:r>
        <w:t xml:space="preserve">Prior write-up's D/E 0.05 was wrong - net debt Rs 613 Cr, net debt/EBITDA ~1.4x</w:t>
      </w:r>
    </w:p>
    <w:p>
      <w:pPr>
        <w:pStyle w:val="ListParagraph"/>
        <w:numPr>
          <w:ilvl w:val="0"/>
          <w:numId w:val="1"/>
        </w:numPr>
        <w:spacing w:after="60"/>
      </w:pPr>
      <w:r>
        <w:t xml:space="preserve">Market cap ~Rs 17,400 Cr with sell-side 12-month targets Rs 660-775 (20-30% below spot)</w:t>
      </w:r>
    </w:p>
    <w:p>
      <w:pPr>
        <w:spacing w:after="120"/>
      </w:pPr>
      <w:r>
        <w:rPr>
          <w:b/>
          <w:bCs/>
          <w:sz w:val="20"/>
          <w:szCs w:val="20"/>
        </w:rPr>
        <w:t xml:space="preserve">Open questions / what to watch:</w:t>
      </w:r>
    </w:p>
    <w:p>
      <w:pPr>
        <w:pStyle w:val="ListParagraph"/>
        <w:numPr>
          <w:ilvl w:val="0"/>
          <w:numId w:val="1"/>
        </w:numPr>
        <w:spacing w:after="60"/>
      </w:pPr>
      <w:r>
        <w:t xml:space="preserve">Does the Nov-2025 Jadcherla Form 483 close out or escalate (warning letter / import alert)? It gates the US formulations ramp</w:t>
      </w:r>
    </w:p>
    <w:p>
      <w:pPr>
        <w:pStyle w:val="ListParagraph"/>
        <w:numPr>
          <w:ilvl w:val="0"/>
          <w:numId w:val="1"/>
        </w:numPr>
        <w:spacing w:after="60"/>
      </w:pPr>
      <w:r>
        <w:t xml:space="preserve">How much of Q1 FY27's PAT jump is repeatable licensing income vs base business?</w:t>
      </w:r>
    </w:p>
    <w:p>
      <w:pPr>
        <w:pStyle w:val="ListParagraph"/>
        <w:numPr>
          <w:ilvl w:val="0"/>
          <w:numId w:val="1"/>
        </w:numPr>
        <w:spacing w:after="60"/>
      </w:pPr>
      <w:r>
        <w:t xml:space="preserve">Can the wide platform (API/FDF/biologics/ADC/GLP-1/transdermal/NCE/OTF) be executed without management-bandwidth slippage?</w:t>
      </w:r>
    </w:p>
    <w:p>
      <w:pPr>
        <w:pStyle w:val="ListParagraph"/>
        <w:numPr>
          <w:ilvl w:val="0"/>
          <w:numId w:val="1"/>
        </w:numPr>
        <w:spacing w:after="60"/>
      </w:pPr>
      <w:r>
        <w:t xml:space="preserve">When does biologics/NBE start earning a return on its invested capital, lifting reported ROCE toward the adjusted figure?</w:t>
      </w:r>
    </w:p>
    <w:p>
      <w:pPr>
        <w:spacing w:after="120" w:before="120"/>
      </w:pPr>
      <w:r>
        <w:rPr>
          <w:b/>
          <w:bCs/>
          <w:sz w:val="20"/>
          <w:szCs w:val="20"/>
        </w:rPr>
        <w:t xml:space="preserve">Conviction impact: </w:t>
      </w:r>
      <w:r>
        <w:rPr>
          <w:sz w:val="20"/>
          <w:szCs w:val="20"/>
        </w:rPr>
        <w:t xml:space="preserve">Medium -&gt; Medium (held). The FY26 numbers show a broader, more durable inflection than the prior one-quarter read - full-year revenue +18%, EBITDA +30%, adjusted PAT +135%, 141% cash conversion, and a pipeline of dated FY27-28 launches. But the compliance overhang firmed up (fresh Nov-2025 Jadcherla Form 483 on a key export site with a warning-letter history, a Raichur 483, a July-2026 Class II recall), reported returns are still single-digit, and at ~Rs 17,400 Cr market cap with sell-side targets 20-30% below spot the 10x shape no longer fits - thesis_fit moves to neither.</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Semaglutide (GLP-1) API+FDF: DMF filing 1HFY27, European commercial supplies from 2HFY27</w:t>
            </w:r>
          </w:p>
        </w:tc>
        <w:tc>
          <w:tcPr>
            <w:tcW w:type="dxa" w:w="2400"/>
          </w:tcPr>
          <w:p>
            <w:r>
              <w:rPr>
                <w:b w:val="false"/>
                <w:bCs w:val="false"/>
                <w:sz w:val="18"/>
                <w:szCs w:val="18"/>
              </w:rPr>
              <w:t xml:space="preserve">DMF 1HFY27; EU supplies 2HFY27; India/RoW FY28</w:t>
            </w:r>
          </w:p>
        </w:tc>
        <w:tc>
          <w:tcPr>
            <w:tcW w:type="dxa" w:w="900"/>
          </w:tcPr>
          <w:p>
            <w:r>
              <w:rPr>
                <w:b w:val="false"/>
                <w:bCs w:val="false"/>
                <w:sz w:val="18"/>
                <w:szCs w:val="18"/>
              </w:rPr>
              <w:t xml:space="preserve">FY27</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FY27-28 complex-formulation launch cluster - Rotigotine transdermal patch (EU 1HFY27), Abraxane, Enzalutamide</w:t>
            </w:r>
          </w:p>
        </w:tc>
        <w:tc>
          <w:tcPr>
            <w:tcW w:type="dxa" w:w="2400"/>
          </w:tcPr>
          <w:p>
            <w:r>
              <w:rPr>
                <w:b w:val="false"/>
                <w:bCs w:val="false"/>
                <w:sz w:val="18"/>
                <w:szCs w:val="18"/>
              </w:rPr>
              <w:t xml:space="preserve">Rotigotine EMA approval received, EU launch 1HFY27, US filing done; Abraxane/Enzalutamide FY28</w:t>
            </w:r>
          </w:p>
        </w:tc>
        <w:tc>
          <w:tcPr>
            <w:tcW w:type="dxa" w:w="900"/>
          </w:tcPr>
          <w:p>
            <w:r>
              <w:rPr>
                <w:b w:val="false"/>
                <w:bCs w:val="false"/>
                <w:sz w:val="18"/>
                <w:szCs w:val="18"/>
              </w:rPr>
              <w:t xml:space="preserve">FY28</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FY26 EBITDA margin ~29% (Rs 445 Cr on Rs 1,549 Cr); Q1 FY27 ~30%; mgmt targets consistent growth + improving ROCE, no formal guidance</w:t>
            </w:r>
          </w:p>
        </w:tc>
        <w:tc>
          <w:tcPr>
            <w:tcW w:type="dxa" w:w="2400"/>
          </w:tcPr>
          <w:p>
            <w:r>
              <w:rPr>
                <w:b w:val="false"/>
                <w:bCs w:val="false"/>
                <w:sz w:val="18"/>
                <w:szCs w:val="18"/>
              </w:rPr>
              <w:t xml:space="preserve">~29-30% EBITDA margin; ROCE improvement</w:t>
            </w:r>
          </w:p>
        </w:tc>
        <w:tc>
          <w:tcPr>
            <w:tcW w:type="dxa" w:w="900"/>
          </w:tcPr>
          <w:p>
            <w:r>
              <w:rPr>
                <w:b w:val="false"/>
                <w:bCs w:val="false"/>
                <w:sz w:val="18"/>
                <w:szCs w:val="18"/>
              </w:rPr>
              <w:t xml:space="preserve">FY27</w:t>
            </w:r>
          </w:p>
        </w:tc>
        <w:tc>
          <w:tcPr>
            <w:tcW w:type="dxa" w:w="1200"/>
          </w:tcPr>
          <w:p>
            <w:r>
              <w:rPr>
                <w:b w:val="false"/>
                <w:bCs w:val="false"/>
                <w:sz w:val="18"/>
                <w:szCs w:val="18"/>
              </w:rPr>
              <w:t xml:space="preserve">financial</w:t>
            </w:r>
          </w:p>
        </w:tc>
        <w:tc>
          <w:tcPr>
            <w:tcW w:type="dxa" w:w="800"/>
          </w:tcPr>
          <w:p>
            <w:r>
              <w:rPr>
                <w:b w:val="false"/>
                <w:bCs w:val="false"/>
                <w:sz w:val="18"/>
                <w:szCs w:val="18"/>
              </w:rPr>
              <w:t xml:space="preserve"/>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Annual licensing income target above Rs 150 Cr (CDMO/NCE milestones incl. Lantern Pharma)</w:t>
            </w:r>
          </w:p>
        </w:tc>
        <w:tc>
          <w:tcPr>
            <w:tcW w:type="dxa" w:w="2400"/>
          </w:tcPr>
          <w:p>
            <w:r>
              <w:rPr>
                <w:b w:val="false"/>
                <w:bCs w:val="false"/>
                <w:sz w:val="18"/>
                <w:szCs w:val="18"/>
              </w:rPr>
              <w:t xml:space="preserve">&gt;Rs 150 Cr p.a.; a licensing lump helped Q1 FY27 PAT +115%</w:t>
            </w:r>
          </w:p>
        </w:tc>
        <w:tc>
          <w:tcPr>
            <w:tcW w:type="dxa" w:w="900"/>
          </w:tcPr>
          <w:p>
            <w:r>
              <w:rPr>
                <w:b w:val="false"/>
                <w:bCs w:val="false"/>
                <w:sz w:val="18"/>
                <w:szCs w:val="18"/>
              </w:rPr>
              <w:t xml:space="preserve">FY27</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
            </w:r>
          </w:p>
        </w:tc>
      </w:tr>
      <w:tr>
        <w:tc>
          <w:tcPr>
            <w:tcW w:type="dxa" w:w="1100"/>
          </w:tcPr>
          <w:p>
            <w:r>
              <w:rPr>
                <w:b w:val="false"/>
                <w:bCs w:val="false"/>
                <w:sz w:val="18"/>
                <w:szCs w:val="18"/>
              </w:rPr>
              <w:t xml:space="preserve">capex</w:t>
            </w:r>
          </w:p>
        </w:tc>
        <w:tc>
          <w:tcPr>
            <w:tcW w:type="dxa" w:w="2600"/>
          </w:tcPr>
          <w:p>
            <w:r>
              <w:rPr>
                <w:b w:val="false"/>
                <w:bCs w:val="false"/>
                <w:sz w:val="18"/>
                <w:szCs w:val="18"/>
              </w:rPr>
              <w:t xml:space="preserve">Major capex cycle largely complete; ADC GMP facility commissioned Jun-26; no significant new biologics/formulation capex for ~3 years</w:t>
            </w:r>
          </w:p>
        </w:tc>
        <w:tc>
          <w:tcPr>
            <w:tcW w:type="dxa" w:w="2400"/>
          </w:tcPr>
          <w:p>
            <w:r>
              <w:rPr>
                <w:b w:val="false"/>
                <w:bCs w:val="false"/>
                <w:sz w:val="18"/>
                <w:szCs w:val="18"/>
              </w:rPr>
              <w:t xml:space="preserve">FY26 net capex Rs 361 Cr</w:t>
            </w:r>
          </w:p>
        </w:tc>
        <w:tc>
          <w:tcPr>
            <w:tcW w:type="dxa" w:w="900"/>
          </w:tcPr>
          <w:p>
            <w:r>
              <w:rPr>
                <w:b w:val="false"/>
                <w:bCs w:val="false"/>
                <w:sz w:val="18"/>
                <w:szCs w:val="18"/>
              </w:rPr>
              <w:t xml:space="preserve">beyond</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Recombinant human albumin - Phase 3 initiate India+EU 1HFY27; India commercialisation FY28 (Orion tie-up EU)</w:t>
            </w:r>
          </w:p>
        </w:tc>
        <w:tc>
          <w:tcPr>
            <w:tcW w:type="dxa" w:w="2400"/>
          </w:tcPr>
          <w:p>
            <w:r>
              <w:rPr>
                <w:b w:val="false"/>
                <w:bCs w:val="false"/>
                <w:sz w:val="18"/>
                <w:szCs w:val="18"/>
              </w:rPr>
              <w:t xml:space="preserve">Ph3 1HFY27; India FY28-29</w:t>
            </w:r>
          </w:p>
        </w:tc>
        <w:tc>
          <w:tcPr>
            <w:tcW w:type="dxa" w:w="900"/>
          </w:tcPr>
          <w:p>
            <w:r>
              <w:rPr>
                <w:b w:val="false"/>
                <w:bCs w:val="false"/>
                <w:sz w:val="18"/>
                <w:szCs w:val="18"/>
              </w:rPr>
              <w:t xml:space="preserve">FY28</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Aflibercept biosimilar - India launch FY27; Phase 3 nearing completion</w:t>
            </w:r>
          </w:p>
        </w:tc>
        <w:tc>
          <w:tcPr>
            <w:tcW w:type="dxa" w:w="2400"/>
          </w:tcPr>
          <w:p>
            <w:r>
              <w:rPr>
                <w:b w:val="false"/>
                <w:bCs w:val="false"/>
                <w:sz w:val="18"/>
                <w:szCs w:val="18"/>
              </w:rPr>
              <w:t xml:space="preserve">FY27 India commercialisation</w:t>
            </w:r>
          </w:p>
        </w:tc>
        <w:tc>
          <w:tcPr>
            <w:tcW w:type="dxa" w:w="900"/>
          </w:tcPr>
          <w:p>
            <w:r>
              <w:rPr>
                <w:b w:val="false"/>
                <w:bCs w:val="false"/>
                <w:sz w:val="18"/>
                <w:szCs w:val="18"/>
              </w:rPr>
              <w:t xml:space="preserve">FY27</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oncology API + EU/US complex formulations + biologics/ADC + CDMO/NCE licensing pipeline</w:t>
      </w:r>
      <w:r>
        <w:rPr>
          <w:color w:val="666666"/>
          <w:sz w:val="20"/>
          <w:szCs w:val="20"/>
        </w:rPr>
        <w:t xml:space="preserve"> → </w:t>
      </w:r>
      <w:r>
        <w:rPr>
          <w:b w:val="false"/>
          <w:bCs w:val="false"/>
          <w:sz w:val="20"/>
          <w:szCs w:val="20"/>
        </w:rPr>
        <w:t xml:space="preserve">capacity in place (capex cycle largely done, ADC facility commissioned)</w:t>
      </w:r>
      <w:r>
        <w:rPr>
          <w:color w:val="666666"/>
          <w:sz w:val="20"/>
          <w:szCs w:val="20"/>
        </w:rPr>
        <w:t xml:space="preserve"> → </w:t>
      </w:r>
      <w:r>
        <w:rPr>
          <w:b w:val="false"/>
          <w:bCs w:val="false"/>
          <w:sz w:val="20"/>
          <w:szCs w:val="20"/>
        </w:rPr>
        <w:t xml:space="preserve">revenue growth (FY26 +18%, Q1 FY27 +45%) + licensing income &gt;Rs 150 Cr p.a.</w:t>
      </w:r>
      <w:r>
        <w:rPr>
          <w:color w:val="666666"/>
          <w:sz w:val="20"/>
          <w:szCs w:val="20"/>
        </w:rPr>
        <w:t xml:space="preserve"> → </w:t>
      </w:r>
      <w:r>
        <w:rPr>
          <w:b w:val="false"/>
          <w:bCs w:val="false"/>
          <w:sz w:val="20"/>
          <w:szCs w:val="20"/>
        </w:rPr>
        <w:t xml:space="preserve">EBITDA margin ~29-30% sustained</w:t>
      </w:r>
      <w:r>
        <w:rPr>
          <w:color w:val="666666"/>
          <w:sz w:val="20"/>
          <w:szCs w:val="20"/>
        </w:rPr>
        <w:t xml:space="preserve"> → </w:t>
      </w:r>
      <w:r>
        <w:rPr>
          <w:b w:val="false"/>
          <w:bCs w:val="false"/>
          <w:sz w:val="20"/>
          <w:szCs w:val="20"/>
        </w:rPr>
        <w:t xml:space="preserve">reported ROCE improving off ~11% toward the adjusted ~17.4%</w:t>
      </w:r>
      <w:r>
        <w:rPr>
          <w:color w:val="666666"/>
          <w:sz w:val="20"/>
          <w:szCs w:val="20"/>
        </w:rPr>
        <w:t xml:space="preserve"> → </w:t>
      </w:r>
      <w:r>
        <w:rPr>
          <w:b w:val="false"/>
          <w:bCs w:val="false"/>
          <w:sz w:val="20"/>
          <w:szCs w:val="20"/>
        </w:rPr>
        <w:t xml:space="preserve">PAT / FCF (FY26 OCF 141% of PAT)</w:t>
      </w:r>
    </w:p>
    <w:p>
      <w:pPr>
        <w:spacing w:after="120"/>
      </w:pPr>
      <w:r>
        <w:rPr>
          <w:color w:val="666666"/>
          <w:sz w:val="18"/>
          <w:szCs w:val="18"/>
        </w:rPr>
        <w:t xml:space="preserve">Bottleneck link: revenue growth + licensing income &gt;Rs 150 Cr p.a. holding, gated by USFDA compliance status at Jadcherla.</w:t>
      </w:r>
    </w:p>
    <w:p>
      <w:pPr>
        <w:spacing w:after="120"/>
      </w:pPr>
      <w:r>
        <w:rPr>
          <w:color w:val="666666"/>
          <w:sz w:val="18"/>
          <w:szCs w:val="18"/>
        </w:rPr>
        <w:t xml:space="preserve">Operating leverage: yes - capex largely done, incremental formulation/licensing/biologics revenue drops through at ~29-30% margin; but reported ROCE stays single-digit until biologics earns its capital</w:t>
      </w:r>
    </w:p>
    <w:p>
      <w:pPr>
        <w:spacing w:after="120"/>
      </w:pPr>
      <w:r>
        <w:rPr>
          <w:color w:val="666666"/>
          <w:sz w:val="18"/>
          <w:szCs w:val="18"/>
        </w:rPr>
        <w:t xml:space="preserve">Evidenced: capacity in place (capex cycle largely done, ADC facility commissioned); revenue growth (FY26 +18%, Q1 FY27 +45%) + licensing income &gt;Rs 150 Cr p.a.; EBITDA margin ~29-30% sustained; PAT / FCF (FY26 OCF 141% of PAT). Still assumed: reported ROCE improving off ~11% toward the adjusted ~17.4%; FY28 launch cluster contribution.</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2026-09-01</w:t>
            </w:r>
          </w:p>
        </w:tc>
      </w:tr>
      <w:tr>
        <w:tc>
          <w:tcPr>
            <w:tcW w:type="dxa" w:w="3200"/>
            <w:shd w:fill="F2F2F2" w:val="clear"/>
          </w:tcPr>
          <w:p>
            <w:r>
              <w:rPr>
                <w:b/>
                <w:bCs/>
              </w:rPr>
              <w:t xml:space="preserve">Price / multiple</w:t>
            </w:r>
          </w:p>
        </w:tc>
        <w:tc>
          <w:tcPr>
            <w:tcW w:type="dxa" w:w="5800"/>
          </w:tcPr>
          <w:p>
            <w:r>
              <w:t xml:space="preserve">Rs 905 · 59x P/E · 34x EV/EBITDA</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~59x TTM (EPS ~Rs 15 through Q1 FY27) implies ~35-45% EPS CAGR FY26-FY28 at a ~28-32x quality-franchise exit; sell-side sees ~15-20% FY27 profit growth with 12M targets of Rs 660-775, 20-30% below the current price</w:t>
            </w:r>
          </w:p>
        </w:tc>
      </w:tr>
      <w:tr>
        <w:tc>
          <w:tcPr>
            <w:tcW w:type="dxa" w:w="3200"/>
            <w:shd w:fill="F2F2F2" w:val="clear"/>
          </w:tcPr>
          <w:p>
            <w:r>
              <w:rPr>
                <w:b/>
                <w:bCs/>
              </w:rPr>
              <w:t xml:space="preserve">Our FY27</w:t>
            </w:r>
          </w:p>
        </w:tc>
        <w:tc>
          <w:tcPr>
            <w:tcW w:type="dxa" w:w="5800"/>
          </w:tcPr>
          <w:p>
            <w:r>
              <w:t xml:space="preserve">Revenue ~Rs 1,900-2,100 Cr (EU/US formulation ramp + biologics + licensing &gt;Rs 150 Cr); EBITDA margin ~29-30%; PAT ~Rs 340-400 Cr (EPS ~Rs 17-20) if the licensing run-rate holds - no formal guidance</w:t>
            </w:r>
          </w:p>
        </w:tc>
      </w:tr>
      <w:tr>
        <w:tc>
          <w:tcPr>
            <w:tcW w:type="dxa" w:w="3200"/>
            <w:shd w:fill="F2F2F2" w:val="clear"/>
          </w:tcPr>
          <w:p>
            <w:r>
              <w:rPr>
                <w:b/>
                <w:bCs/>
              </w:rPr>
              <w:t xml:space="preserve">Our FY28</w:t>
            </w:r>
          </w:p>
        </w:tc>
        <w:tc>
          <w:tcPr>
            <w:tcW w:type="dxa" w:w="5800"/>
          </w:tcPr>
          <w:p>
            <w:r>
              <w:t xml:space="preserve">Step-up depends on the FY28 launch cluster - Abraxane, Enzalutamide, Rotigotine US, India albumin, aflibercept, NCE/CDMO commercialisations - mostly action/expectation stage, and on the Jadcherla Form 483 not escalating</w:t>
            </w:r>
          </w:p>
        </w:tc>
      </w:tr>
      <w:tr>
        <w:tc>
          <w:tcPr>
            <w:tcW w:type="dxa" w:w="3200"/>
            <w:shd w:fill="F2F2F2" w:val="clear"/>
          </w:tcPr>
          <w:p>
            <w:r>
              <w:rPr>
                <w:b/>
                <w:bCs/>
              </w:rPr>
              <w:t xml:space="preserve">Gap direction</w:t>
            </w:r>
          </w:p>
        </w:tc>
        <w:tc>
          <w:tcPr>
            <w:tcW w:type="dxa" w:w="5800"/>
          </w:tcPr>
          <w:p>
            <w:r>
              <w:t xml:space="preserve">priced-in</w:t>
            </w:r>
          </w:p>
        </w:tc>
      </w:tr>
      <w:tr>
        <w:tc>
          <w:tcPr>
            <w:tcW w:type="dxa" w:w="3200"/>
            <w:shd w:fill="F2F2F2" w:val="clear"/>
          </w:tcPr>
          <w:p>
            <w:r>
              <w:rPr>
                <w:b/>
                <w:bCs/>
              </w:rPr>
              <w:t xml:space="preserve">Gap type</w:t>
            </w:r>
          </w:p>
        </w:tc>
        <w:tc>
          <w:tcPr>
            <w:tcW w:type="dxa" w:w="5800"/>
          </w:tcPr>
          <w:p>
            <w:r>
              <w:t xml:space="preserve">timing</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Q1 FY27 delivered a real inflection (PAT +115%, ~30% EBITDA margin) on top of a full-year FY26 step-up, but the FY28 earnings the ~59x multiple needs rest on an unlaunched product cluster, reported ROE/ROCE are still ~9%/11%, and a fresh Nov-2025 Jadcherla Form 483 is an unresolved overhang; sell-side targets sit 20-30% below spot</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Jadcherla Form 483 outcome (close-out vs escalation); Semaglutide DMF filing 1HFY27 + EU commercial supplies 2HFY27; Rotigotine EU launch 1HFY27; Aflibercept India launch FY27; Q2-Q3 FY27 prints showing licensing income holding a &gt;Rs 150 Cr run-rate</w:t>
      </w:r>
      <w:r>
        <w:rPr>
          <w:color w:val="666666"/>
          <w:sz w:val="18"/>
          <w:szCs w:val="18"/>
        </w:rPr>
        <w:t xml:space="preserve"> (window ~9M from 2026-09-01; dated; evidence med; pending)</w:t>
      </w:r>
    </w:p>
    <w:p>
      <w:pPr>
        <w:pStyle w:val="Heading1"/>
        <w:spacing w:after="120" w:before="280"/>
      </w:pPr>
      <w:r>
        <w:t xml:space="preserve">Ishmohit-Lens Checks (value chain · earnings quality · growth trajectory · management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oncology API + specialty/complex formulations + biologics/biosimilars + CDMO/NCE</w:t>
            </w:r>
          </w:p>
        </w:tc>
      </w:tr>
      <w:tr>
        <w:tc>
          <w:tcPr>
            <w:tcW w:type="dxa" w:w="3200"/>
            <w:shd w:fill="F2F2F2" w:val="clear"/>
          </w:tcPr>
          <w:p>
            <w:r>
              <w:rPr>
                <w:b/>
                <w:bCs/>
              </w:rPr>
              <w:t xml:space="preserve">This company's position</w:t>
            </w:r>
          </w:p>
        </w:tc>
        <w:tc>
          <w:tcPr>
            <w:tcW w:type="dxa" w:w="5800"/>
          </w:tcPr>
          <w:p>
            <w:r>
              <w:t xml:space="preserve">vertically integrated - oncology API maker moving downstream into complex FDF (transdermal, OTF), biosimilars, ADC and CDMO/NCE licensing</w:t>
            </w:r>
          </w:p>
        </w:tc>
      </w:tr>
      <w:tr>
        <w:tc>
          <w:tcPr>
            <w:tcW w:type="dxa" w:w="3200"/>
            <w:shd w:fill="F2F2F2" w:val="clear"/>
          </w:tcPr>
          <w:p>
            <w:r>
              <w:rPr>
                <w:b/>
                <w:bCs/>
              </w:rPr>
              <w:t xml:space="preserve">Bottleneck node (pricing power)</w:t>
            </w:r>
          </w:p>
        </w:tc>
        <w:tc>
          <w:tcPr>
            <w:tcW w:type="dxa" w:w="5800"/>
          </w:tcPr>
          <w:p>
            <w:r>
              <w:t xml:space="preserve">regulatory approvals + USFDA compliance status at key export sites (Jadcherla)</w:t>
            </w:r>
          </w:p>
        </w:tc>
      </w:tr>
      <w:tr>
        <w:tc>
          <w:tcPr>
            <w:tcW w:type="dxa" w:w="3200"/>
            <w:shd w:fill="F2F2F2" w:val="clear"/>
          </w:tcPr>
          <w:p>
            <w:r>
              <w:rPr>
                <w:b/>
                <w:bCs/>
              </w:rPr>
              <w:t xml:space="preserve">Supply-side status</w:t>
            </w:r>
          </w:p>
        </w:tc>
        <w:tc>
          <w:tcPr>
            <w:tcW w:type="dxa" w:w="5800"/>
          </w:tcPr>
          <w:p>
            <w:r>
              <w:t xml:space="preserve">balanced</w:t>
            </w:r>
          </w:p>
        </w:tc>
      </w:tr>
      <w:tr>
        <w:tc>
          <w:tcPr>
            <w:tcW w:type="dxa" w:w="3200"/>
            <w:shd w:fill="F2F2F2" w:val="clear"/>
          </w:tcPr>
          <w:p>
            <w:r>
              <w:rPr>
                <w:b/>
                <w:bCs/>
              </w:rPr>
              <w:t xml:space="preserve">Adjacent-node peers</w:t>
            </w:r>
          </w:p>
        </w:tc>
        <w:tc>
          <w:tcPr>
            <w:tcW w:type="dxa" w:w="5800"/>
          </w:tcPr>
          <w:p>
            <w:r>
              <w:t xml:space="preserve">Natco Pharma, Dr Reddy's (oncology), Biocon Biologics, Fermion / Orion (albumin partner)</w:t>
            </w:r>
          </w:p>
        </w:tc>
      </w:tr>
    </w:tbl>
    <w:p>
      <w:pPr>
        <w:spacing w:after="120"/>
      </w:pPr>
      <w:r>
        <w:rPr>
          <w:color w:val="666666"/>
          <w:sz w:val="18"/>
          <w:szCs w:val="18"/>
        </w:rPr>
        <w:t xml:space="preserve">Oncology API is contested with several Indian players adding capacity; Shilpa's edge is downstream integration into complex FDF, transdermal, ADC and NCE licensing - a wide platform that is also a management-bandwidth risk.</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w:r>
    </w:p>
    <w:p>
      <w:pPr>
        <w:spacing w:after="120"/>
      </w:pPr>
      <w:r>
        <w:rPr>
          <w:color w:val="666666"/>
          <w:sz w:val="18"/>
          <w:szCs w:val="18"/>
        </w:rPr>
        <w:t xml:space="preserve">Drivers: mix shift to higher-margin complex formulations (EU/US) and oncology; lumpy CDMO/NCE licensing income (&gt;Rs 150 Cr p.a. target); operating leverage as the capex cycle ends; biologics scaling toward breakeven.</w:t>
      </w:r>
    </w:p>
    <w:p>
      <w:pPr>
        <w:spacing w:after="120"/>
      </w:pPr>
      <w:r>
        <w:rPr>
          <w:color w:val="666666"/>
          <w:sz w:val="18"/>
          <w:szCs w:val="18"/>
        </w:rPr>
        <w:t xml:space="preserve">EBITDA margin rose 21% (FY24) -&gt; 29% (FY26) on mix and operating leverage, a structural improvement rather than a cyclical spike; but reported PAT is flattered by lumpy licensing income and some one-offs - adjusted PAT (Rs 232 Cr FY26) is the cleaner base.</w:t>
      </w:r>
    </w:p>
    <w:p>
      <w:pPr>
        <w:spacing w:after="60" w:before="120"/>
      </w:pPr>
      <w:r>
        <w:rPr>
          <w:b/>
          <w:bCs/>
          <w:sz w:val="20"/>
          <w:szCs w:val="20"/>
        </w:rPr>
        <w:t xml:space="preserve">Growth trajectory: </w:t>
      </w:r>
      <w:r>
        <w:rPr>
          <w:b w:val="false"/>
          <w:bCs w:val="false"/>
          <w:sz w:val="20"/>
          <w:szCs w:val="20"/>
        </w:rPr>
        <w:t xml:space="preserve">YoY growth rate is accelerating</w:t>
      </w:r>
    </w:p>
    <w:p>
      <w:pPr>
        <w:spacing w:after="120"/>
      </w:pPr>
      <w:r>
        <w:rPr>
          <w:color w:val="666666"/>
          <w:sz w:val="18"/>
          <w:szCs w:val="18"/>
        </w:rPr>
        <w:t xml:space="preserve">Annual revenue growth FY24 ~+10%, FY25 ~+12-15%, FY26 +18%; quarterly revenue 321 -&gt; 370 -&gt; 410 -&gt; 439 (FY26) then 469 in Q1 FY27 (+45% YoY). Adjusted PAT FY24 ~Rs 32 Cr -&gt; FY25 Rs 99 Cr -&gt; FY26 Rs 232 Cr; Q1 FY27 PAT +115% YoY. Licensing income adds lumpiness to the PAT line.</w:t>
      </w:r>
    </w:p>
    <w:p>
      <w:pPr>
        <w:spacing w:after="120"/>
      </w:pPr>
      <w:r>
        <w:rPr>
          <w:color w:val="666666"/>
          <w:sz w:val="18"/>
          <w:szCs w:val="18"/>
        </w:rPr>
        <w:t xml:space="preserve">Reverse P/E: ~59x TTM needs ~35-45% EPS CAGR FY26-28 at a ~28-32x exit; the recent trajectory supports it if licensing holds and the FY28 cluster lands, but sell-side (Rs 660-775) is 20-30% below spot.</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Capital allocation</w:t>
            </w:r>
          </w:p>
        </w:tc>
        <w:tc>
          <w:tcPr>
            <w:tcW w:type="dxa" w:w="5800"/>
          </w:tcPr>
          <w:p>
            <w:r>
              <w:t xml:space="preserve">Reinvested through a heavy capex cycle (FY26 net capex Rs 361 Cr) into biologics/ADC/formulations; adjusted incremental ROCE ~17% but reported ROCE still ~11% as the biologics capital does not yet earn; net debt Rs 613 Cr (1.4x EBITDA, improving). Very wide product platform - API/FDF/biologics/ADC/GLP-1/transdermal/NCE/OTF - a diversification breadth a trusted holder flagged.</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Capability ladder / VAP</w:t>
            </w:r>
          </w:p>
        </w:tc>
        <w:tc>
          <w:tcPr>
            <w:tcW w:type="dxa" w:w="5800"/>
          </w:tcPr>
          <w:p>
            <w:r>
              <w:t xml:space="preserve">Explicit move up the curve: oncology API -&gt; complex/specialty FDF (transdermal patch, OTF) -&gt; biosimilars/ADC -&gt; in-house NCE (NorUDCA) and CDMO licensing.</w:t>
            </w:r>
          </w:p>
        </w:tc>
      </w:tr>
    </w:tbl>
    <w:p>
      <w:pPr>
        <w:pStyle w:val="Heading1"/>
        <w:spacing w:after="120" w:before="280"/>
      </w:pPr>
      <w:r>
        <w:t xml:space="preserve">Technical Read (Weekly / Monthly MACD + Bollinger Bands, or RSI/CCI/Williams %R proxy)</w:t>
      </w:r>
    </w:p>
    <w:p>
      <w:pPr>
        <w:spacing w:after="120"/>
      </w:pPr>
      <w:r>
        <w:t xml:space="preserve">Not pulled this pass.</w:t>
      </w:r>
    </w:p>
    <w:p>
      <w:pPr>
        <w:pStyle w:val="Heading1"/>
        <w:spacing w:after="120" w:before="280"/>
      </w:pPr>
      <w:r>
        <w:t xml:space="preserve">ValuePickr Community Signal</w:t>
      </w:r>
    </w:p>
    <w:p>
      <w:pPr>
        <w:spacing w:after="120"/>
      </w:pPr>
      <w:r>
        <w:t xml:space="preserve">Read the most recent 50 of 770 available posts (Oct 2023-Jul 2026). Sentiment turned notably more bullish through 2026 as results beat expectations, with a VP-trusted long-term holder explicitly increasing exposure calling it 'harvesting time' after years of execution, while another VP-trusted long-term holder raised a genuine overdiversification/compliance caution flag in the same period.</w:t>
      </w:r>
    </w:p>
    <w:p>
      <w:pPr>
        <w:spacing w:after="120"/>
      </w:pPr>
      <w:r>
        <w:rPr>
          <w:b/>
          <w:bCs/>
          <w:sz w:val="20"/>
          <w:szCs w:val="20"/>
        </w:rPr>
        <w:t xml:space="preserve">High-conviction call from a top contributor: </w:t>
      </w:r>
      <w:r>
        <w:rPr>
          <w:sz w:val="20"/>
          <w:szCs w:val="20"/>
        </w:rPr>
        <w:t xml:space="preserve">VALUE2017 (elevated-tier, invested 5 years) raised a substantive caution in Apr 2026 questioning whether the company is overdiversifying across API, formulation, NCE, biologics, peptides, transdermal, and OTF simultaneously, and noted 'compliance level is also not very encouraging.' Prabhat_Mohanty (elevated-tier) responded the same day that after reviewing a detailed research report, 'this appears to be harvesting time after so many years of planning and execution' and indicated he may increase exposure. Akshada_Deo (non-trusted) confirmed 'great Q4 results' beating her own estimates (May 2026). Mahigiri21 (non-trusted) flagged the CDMO relationship with Lantern Pharma for two oncology molecules (LP-184, LP-284) as an underappreciated catalyst, though a related Lantern Pharma partner drug (Unicycive's OLC) received an FDA rejection in Jun 2026 - management had already guided no major FY27 revenue was expected from that specific asset.</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2026-09-03 — LearningEleven (X)</w:t>
      </w:r>
      <w:r>
        <w:rPr>
          <w:i/>
          <w:iCs/>
          <w:color w:val="666666"/>
          <w:sz w:val="18"/>
          <w:szCs w:val="18"/>
        </w:rPr>
        <w:t xml:space="preserve"> (X / @LearningEleven)</w:t>
      </w:r>
      <w:r>
        <w:rPr>
          <w:sz w:val="20"/>
          <w:szCs w:val="20"/>
        </w:rPr>
        <w:br/>
        <w:t xml:space="preserve">: Bullish thread on FY28/FY29 earnings triggers - legacy oncology API franchise (~30% global share in capecitabine/gemcitabine/axitinib/erlotinib/irinotecan) plus formulation scale-up.</w:t>
      </w:r>
    </w:p>
    <w:p>
      <w:pPr>
        <w:spacing w:after="100"/>
      </w:pPr>
      <w:r>
        <w:rPr>
          <w:b/>
          <w:bCs/>
          <w:sz w:val="20"/>
          <w:szCs w:val="20"/>
        </w:rPr>
        <w:t xml:space="preserve">2026-08-27 — unseenvalue (X)</w:t>
      </w:r>
      <w:r>
        <w:rPr>
          <w:i/>
          <w:iCs/>
          <w:color w:val="666666"/>
          <w:sz w:val="18"/>
          <w:szCs w:val="18"/>
        </w:rPr>
        <w:t xml:space="preserve"> (X / @unseenvalue)</w:t>
      </w:r>
      <w:r>
        <w:rPr>
          <w:sz w:val="20"/>
          <w:szCs w:val="20"/>
        </w:rPr>
        <w:br/>
        <w:t xml:space="preserve">: 'Shilpa Medicare. Invested.' 270-&gt;900; the depreciation 'problem' at 300 was the early signal.</w:t>
      </w:r>
    </w:p>
    <w:p>
      <w:pPr>
        <w:spacing w:after="100"/>
      </w:pPr>
      <w:r>
        <w:rPr>
          <w:b/>
          <w:bCs/>
          <w:sz w:val="20"/>
          <w:szCs w:val="20"/>
        </w:rPr>
        <w:t xml:space="preserve">2026-04-03 — Prabhat_Mohanty</w:t>
      </w:r>
      <w:r>
        <w:rPr>
          <w:i/>
          <w:iCs/>
          <w:color w:val="666666"/>
          <w:sz w:val="18"/>
          <w:szCs w:val="18"/>
        </w:rPr>
        <w:t xml:space="preserve"> (Shilpa Medicare - Racing away on the Oncology API highway!)</w:t>
      </w:r>
      <w:r>
        <w:rPr>
          <w:sz w:val="20"/>
          <w:szCs w:val="20"/>
        </w:rPr>
        <w:br/>
        <w:t xml:space="preserve">: After reviewing a detailed research report, called this 'harvesting time after so many years of planning and execution' and indicated he may increase his exposure.</w:t>
      </w:r>
    </w:p>
    <w:p>
      <w:pPr>
        <w:spacing w:after="100"/>
      </w:pPr>
      <w:r>
        <w:rPr>
          <w:b/>
          <w:bCs/>
          <w:sz w:val="20"/>
          <w:szCs w:val="20"/>
        </w:rPr>
        <w:t xml:space="preserve">2026-04-03 — VALUE2017</w:t>
      </w:r>
      <w:r>
        <w:rPr>
          <w:i/>
          <w:iCs/>
          <w:color w:val="666666"/>
          <w:sz w:val="18"/>
          <w:szCs w:val="18"/>
        </w:rPr>
        <w:t xml:space="preserve"> (Shilpa Medicare - Racing away on the Oncology API highway!)</w:t>
      </w:r>
      <w:r>
        <w:rPr>
          <w:sz w:val="20"/>
          <w:szCs w:val="20"/>
        </w:rPr>
        <w:br/>
        <w:t xml:space="preserve">: Raised a caution about overdiversification across API/formulation/NCE/biologics/peptides/transdermal/OTF simultaneously, and noted compliance levels are 'not very encouraging' - disclosed invested for 5 years.</w:t>
      </w:r>
    </w:p>
    <w:p>
      <w:pPr>
        <w:pStyle w:val="Heading1"/>
        <w:spacing w:after="120" w:before="280"/>
      </w:pPr>
      <w:r>
        <w:t xml:space="preserve">BSE Corporate Actions / Other Red Flags</w:t>
      </w:r>
    </w:p>
    <w:p>
      <w:pPr>
        <w:spacing w:after="120"/>
      </w:pPr>
      <w:r>
        <w:t xml:space="preserve">Nov 12-21, 2025: 10-day USFDA inspection of Jadcherla Unit IV -&gt; Form 483 with 8 observations (none repeat), response filed. Mar 2025: Raichur API unit Form 483 with 1 observation. Jul 2026: voluntary US recall of 27,923 Pemetrexed vials, Class II. Aug 2026: a Europe formulation deal cleared alongside Q1 FY27 board results. Promoter holding ~40.1%, flat through FY26 (down ~10pp over 3 years from equity raises).</w:t>
      </w:r>
    </w:p>
    <w:p>
      <w:pPr>
        <w:pStyle w:val="Heading1"/>
        <w:spacing w:after="120" w:before="280"/>
      </w:pPr>
      <w:r>
        <w:t xml:space="preserve">Bull Case</w:t>
      </w:r>
    </w:p>
    <w:p>
      <w:pPr>
        <w:pStyle w:val="ListParagraph"/>
        <w:numPr>
          <w:ilvl w:val="0"/>
          <w:numId w:val="1"/>
        </w:numPr>
        <w:spacing w:after="60"/>
      </w:pPr>
      <w:r>
        <w:t xml:space="preserve">FY26 shows a broad, full-year inflection - revenue +18%, EBITDA +30% (margin 21%-&gt;29% over two years), adjusted PAT +135%, operating cash flow 141% of PAT - not just one strong quarter</w:t>
      </w:r>
    </w:p>
    <w:p>
      <w:pPr>
        <w:pStyle w:val="ListParagraph"/>
        <w:numPr>
          <w:ilvl w:val="0"/>
          <w:numId w:val="1"/>
        </w:numPr>
        <w:spacing w:after="60"/>
      </w:pPr>
      <w:r>
        <w:t xml:space="preserve">Dated near-term pipeline: Semaglutide DMF filing 1HFY27 + EU commercial supplies 2HFY27; Rotigotine transdermal patch EMA-approved with EU launch 1HFY27; Aflibercept India FY27; NorUDCA (first-in-class NAFLD) already launched</w:t>
      </w:r>
    </w:p>
    <w:p>
      <w:pPr>
        <w:pStyle w:val="ListParagraph"/>
        <w:numPr>
          <w:ilvl w:val="0"/>
          <w:numId w:val="1"/>
        </w:numPr>
        <w:spacing w:after="60"/>
      </w:pPr>
      <w:r>
        <w:t xml:space="preserve">Capex cycle largely done (FY26 net capex Rs 361 Cr, ADC GMP facility commissioned Jun-26), so incremental formulation/biologics/licensing revenue drops through at ~29-30% margin; net debt/EBITDA down to ~1.4x</w:t>
      </w:r>
    </w:p>
    <w:p>
      <w:pPr>
        <w:pStyle w:val="ListParagraph"/>
        <w:numPr>
          <w:ilvl w:val="0"/>
          <w:numId w:val="1"/>
        </w:numPr>
        <w:spacing w:after="60"/>
      </w:pPr>
      <w:r>
        <w:t xml:space="preserve">A VP-trusted long-term holder explicitly called this 'harvesting time' and signalled intent to increase exposure after reviewing detailed research; adjusted ROCE up from ~4% to ~17.4%</w:t>
      </w:r>
    </w:p>
    <w:p>
      <w:pPr>
        <w:pStyle w:val="Heading1"/>
        <w:spacing w:after="120" w:before="280"/>
      </w:pPr>
      <w:r>
        <w:t xml:space="preserve">Bear Case / Key Risks</w:t>
      </w:r>
    </w:p>
    <w:p>
      <w:pPr>
        <w:pStyle w:val="ListParagraph"/>
        <w:numPr>
          <w:ilvl w:val="0"/>
          <w:numId w:val="1"/>
        </w:numPr>
        <w:spacing w:after="60"/>
      </w:pPr>
      <w:r>
        <w:t xml:space="preserve">Compliance overhang is now concrete: fresh Nov-2025 Jadcherla Form 483 (8 observations) on a key sterile-injectables export site that carried a 2020 warning letter, plus a Raichur Form 483 and a July-2026 Class II recall - directly corroborates the trusted VALUE2017 flag; escalation would hit the US formulations ramp</w:t>
      </w:r>
    </w:p>
    <w:p>
      <w:pPr>
        <w:pStyle w:val="ListParagraph"/>
        <w:numPr>
          <w:ilvl w:val="0"/>
          <w:numId w:val="1"/>
        </w:numPr>
        <w:spacing w:after="60"/>
      </w:pPr>
      <w:r>
        <w:t xml:space="preserve">Reported ROE/ROCE are still single-digit (~9%/11%); the flattering 17.4% is 'adjusted' to exclude the biologics/NBE capital that has not started earning</w:t>
      </w:r>
    </w:p>
    <w:p>
      <w:pPr>
        <w:pStyle w:val="ListParagraph"/>
        <w:numPr>
          <w:ilvl w:val="0"/>
          <w:numId w:val="1"/>
        </w:numPr>
        <w:spacing w:after="60"/>
      </w:pPr>
      <w:r>
        <w:t xml:space="preserve">A VP-trusted long-term holder flagged management bandwidth spread across too many simultaneous platforms - API, formulation, NCE, biologics, ADC, peptides/GLP-1, transdermal, OTF</w:t>
      </w:r>
    </w:p>
    <w:p>
      <w:pPr>
        <w:pStyle w:val="ListParagraph"/>
        <w:numPr>
          <w:ilvl w:val="0"/>
          <w:numId w:val="1"/>
        </w:numPr>
        <w:spacing w:after="60"/>
      </w:pPr>
      <w:r>
        <w:t xml:space="preserve">At ~Rs 17,400 Cr market cap (~59x TTM P/E) with sell-side 12-month targets of Rs 660-775 (20-30% below spot), and the FY28 earnings step resting on an unlaunched product cluster, the multibagger runway is largely gone</w:t>
      </w:r>
    </w:p>
    <w:p>
      <w:pPr>
        <w:pStyle w:val="ListParagraph"/>
        <w:numPr>
          <w:ilvl w:val="0"/>
          <w:numId w:val="1"/>
        </w:numPr>
        <w:spacing w:after="60"/>
      </w:pPr>
      <w:r>
        <w:t xml:space="preserve">Reported PAT includes lumpy CDMO/NCE licensing income (target &gt;Rs 150 Cr p.a.) and some one-offs - adjusted PAT (Rs 232 Cr FY26) is the cleaner base; a partner molecule (Unicycive OLC) was FDA-rejected Jun 2026</w:t>
      </w:r>
    </w:p>
    <w:p>
      <w:pPr>
        <w:pStyle w:val="Heading1"/>
        <w:spacing w:after="120" w:before="280"/>
      </w:pPr>
      <w:r>
        <w:t xml:space="preserve">Market-Cap Tier (informational — not a gate in this project)</w:t>
      </w:r>
    </w:p>
    <w:p>
      <w:pPr>
        <w:spacing w:after="120"/>
      </w:pPr>
      <w:r>
        <w:rPr>
          <w:b/>
          <w:bCs/>
        </w:rPr>
        <w:t xml:space="preserve">Large-cap (~Rs 17,400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 genuine, corroborated FY26 operating inflection with a dated launch pipeline - but a large-cap valuation, single-digit reported returns and a fresh USFDA Form 483 mean it is a quality compounder story rather than a 10x-in-2-3-years one</w:t>
      </w:r>
    </w:p>
    <w:p>
      <w:pPr>
        <w:pStyle w:val="ListParagraph"/>
        <w:numPr>
          <w:ilvl w:val="0"/>
          <w:numId w:val="1"/>
        </w:numPr>
        <w:spacing w:after="60"/>
      </w:pPr>
      <w:r>
        <w:t xml:space="preserve">The deep read upgrades the durability of the inflection - it is a full-year FY26 trend (rev +18%, EBITDA +30%, adj PAT +135%, 141% cash conversion) with dated FY27-28 launches, and a trusted holder is adding - which supports holding conviction at Medium</w:t>
      </w:r>
    </w:p>
    <w:p>
      <w:pPr>
        <w:pStyle w:val="ListParagraph"/>
        <w:numPr>
          <w:ilvl w:val="0"/>
          <w:numId w:val="1"/>
        </w:numPr>
        <w:spacing w:after="60"/>
      </w:pPr>
      <w:r>
        <w:t xml:space="preserve">But the compliance concern firmed from vague to concrete (Nov-2025 Jadcherla Form 483 on an export site with a warning-letter history, a Raichur 483, a July-2026 Class II recall), reported returns are still ~9-11%, and the wide platform is a bandwidth risk flagged by a trusted user</w:t>
      </w:r>
    </w:p>
    <w:p>
      <w:pPr>
        <w:pStyle w:val="ListParagraph"/>
        <w:numPr>
          <w:ilvl w:val="0"/>
          <w:numId w:val="1"/>
        </w:numPr>
        <w:spacing w:after="60"/>
      </w:pPr>
      <w:r>
        <w:t xml:space="preserve">At ~Rs 17,400 Cr market cap with sell-side targets 20-30% below spot and the FY28 step resting on unlaunched products, the 10x-in-2-3-years shape no longer fits - thesis_fit moves to neither (genuine large-cap, size math is a legitimate neither)</w:t>
      </w:r>
    </w:p>
    <w:p>
      <w:pPr>
        <w:pStyle w:val="ListParagraph"/>
        <w:numPr>
          <w:ilvl w:val="0"/>
          <w:numId w:val="1"/>
        </w:numPr>
        <w:spacing w:after="60"/>
      </w:pPr>
      <w:r>
        <w:t xml:space="preserve">Watch the Jadcherla Form 483 outcome, Semaglutide DMF filing and EU supplies (1H/2H FY27), Rotigotine EU launch, and whether Q2-Q3 FY27 licensing income holds a &gt;Rs 150 Cr run-rate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2026-09-04T02:14:44.061Z</dcterms:created>
  <dcterms:modified xsi:type="dcterms:W3CDTF">2026-09-04T02:14:44.068Z</dcterms:modified>
</cp:coreProperties>
</file>

<file path=docProps/custom.xml><?xml version="1.0" encoding="utf-8"?>
<Properties xmlns="http://schemas.openxmlformats.org/officeDocument/2006/custom-properties" xmlns:vt="http://schemas.openxmlformats.org/officeDocument/2006/docPropsVTypes"/>
</file>