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Shiva Mills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yarn spinner with negative returns and near-zero 5-year growth -- filtered at the preliminary fundamentals stage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Small cotton-yarn spinning company.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55.5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Rs 139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 avg)</w:t>
            </w:r>
          </w:p>
        </w:tc>
        <w:tc>
          <w:tcPr>
            <w:tcW w:type="dxa" w:w="5800"/>
          </w:tcPr>
          <w:p>
            <w:r>
              <w:t xml:space="preserve">-5.19%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(TTM)</w:t>
            </w:r>
          </w:p>
        </w:tc>
        <w:tc>
          <w:tcPr>
            <w:tcW w:type="dxa" w:w="5800"/>
          </w:tcPr>
          <w:p>
            <w:r>
              <w:t xml:space="preserve">-0.08%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(5yr)</w:t>
            </w:r>
          </w:p>
        </w:tc>
        <w:tc>
          <w:tcPr>
            <w:tcW w:type="dxa" w:w="5800"/>
          </w:tcPr>
          <w:p>
            <w:r>
              <w:t xml:space="preserve">0.61% (essentially flat)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0.00 (debt-free)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43.01 - 81.98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Negative ROE (-5.19% 3yr avg) and negative TTM ROCE (-0.08%), combined with essentially flat 5-year sales growth (0.61%). The one clean positive is a debt-free balance sheet. No catalyst was found in the web search to offset the weak returns. Per the Step 3 decision rule (no red flag, but both trailing and recent trend weak, no catalyst), this is filtered out before a ValuePickr deep-dive.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filtered at the preliminary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at the preliminary fundamentals stage, no ValuePickr deep-dive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Filtered out at the preliminary fundamentals stage, no ValuePickr deep-dive performed.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 gives some resilience through the commodity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 of the broader cotton-yarn-spread-upcycle basket (priority-2 live theme)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ROE and ROCE, both trailing and TTM, with essentially no 5-year sales growth (0.61%)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Micro-cap (Rs55.5 Cr) with no catalyst identified to explain a turnaround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55.5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no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Priority-2 steady textile theme; large TAM; moat 'no' (commoditised); valuation 'no' given negative returns and flat multi-year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Negative returns and flat growth for years --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 (debt-free, no going-concern signal), but both trailing and recent returns are negative and 5-year growth is essentially zero, with no catalyst identified -- filtered out per the Step 3 decision table before a forum deep-dive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(untrusted X triage, @StocksAndStoics) source; the tip's 'basket' framing does not survive company-specific scrutiny here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2026-09-05T11:39:49.064Z</dcterms:created>
  <dcterms:modified xsi:type="dcterms:W3CDTF">2026-09-05T11:39:49.065Z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