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Shree Ganesh Remedies Ltd (SGRL)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(~Rs 650 Cr) API-intermediate and specialty-chemicals maker with good long-run economics (~27% ROCE, marquee clients, CRAMS optionality) - but management has just cut its FY27 'non-linear growth' guidance, calls this a washout year, and the stock still trades ~44x; the inflection thesis is on hold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SGRL makes pharmaceutical intermediates (~60% of sales - antipsychotic, antidepressant, oncology, diabetic, veterinary) and fine/specialty chemicals (~40%, targeted to exceed 60%: aroma, agrochem, polymer, electronics). It positions itself as a complex-chemistry, low-volume/high-value player (products needing 3-4 different chemistries), with a growing CRAMS/custom-synthesis book. Clients cited include BASF, Laurus, Aarti, Dipharma, Lonza, Cipla. New Block 7/8 capacity and an R&amp;D/kilo block at Ankleshwar; an MoU with a 'leading Japanese company' signed Jan 2025.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630 - 690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~27.5% / ~21%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~Rs 99-125 Cr; 3-yr sales growth ~15.6%; recent quarters flat-to-down (Q1 FY26 revenue -7%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Guided sustainable EBITDA 24-28%; recent quarters higher on lumpy CRAMS + favourable RM buying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Low cash conversion (~70% of PAT over 9 years); negative FCF and rising debt in some years; regular equity dilution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~44x earnings even after a ~12% drawdown; 52-week range roughly Rs 380 - 950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structural story is attractive on paper - ~27% ROCE, ~21% ROE, a complex-chemistry niche, marquee customers and CRAMS optionality - and the company has good disclosure since its first concall in 2024. But the near-term trend has turned down: management's own Q1 FY26 note says the 'subdued demand environment has persisted', they have stepped back from earlier guidance that FY27 would be a year of 'non-linear growth', and forum members quote them expecting 'not good results for next quarter also', i.e. a washout year (blamed partly on the geopolitical environment). The valuation (~44x) has not fully adjusted. Governance quibbles flagged earlier: promoter-linked companies in the same line of business (RPT concern), disproportionate promoter salary increases, negative FCF and repeated dilution.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Fell ~12% around mid-August 2026 on the cautious management commentary; members expect further downside until improvement is visible.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~22 of 25 posts (Mar 2024 to Aug 2026). harsh.beria93 (elevated) did the foundational work in 2024 - detailed AGM/AR notes, comparing SGRL's trajectory to Ami Organics, positive on the specialty-chemicals inflection - but that is now ~2 years stale and pre-dates the current slump. Sahil047 and Farhan_Shaikh posted good concall summaries (specialty mix-shift, 24-28% sustainable EBITDA, CRAMS lumpiness). Dinesh_476 flagged the governance concerns (RPT, promoter salaries, low cash conversion, dilution) and took only a 'tracking position'. The most recent voices are all cautious and invested: deepakreads - 'expect further downside... this year will be a washout... more patience required'; sreered - management stepped back on the FY27 non-linear-growth guidance, 'headwinds still there', analysing whether to exit and re-enter.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current trusted-user conviction. harsh.beria93's positive work is old and pre-slump; recent sentiment from invested (non-trusted) members is uniformly cautious after the guidance cut.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2026-08-31 — unseenvalue (X)</w:t>
      </w:r>
      <w:r>
        <w:rPr>
          <w:i/>
          <w:iCs/>
          <w:color w:val="666666"/>
          <w:sz w:val="18"/>
          <w:szCs w:val="18"/>
        </w:rPr>
        <w:t xml:space="preserve"> (X / @unseenvalue)</w:t>
      </w:r>
      <w:r>
        <w:rPr>
          <w:sz w:val="20"/>
          <w:szCs w:val="20"/>
        </w:rPr>
        <w:br/>
        <w:t xml:space="preserve">: Cryptic bullish-contrarian pattern-match (#SGRL): likens SGRL's current ugly optics/washout year to Neuland Labs circa 2010 - numbers describe state, not trajectory. Points to a concall slide at 48:39.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2024-10-05 — harsh.beria93</w:t>
      </w:r>
      <w:r>
        <w:rPr>
          <w:i/>
          <w:iCs/>
          <w:color w:val="666666"/>
          <w:sz w:val="18"/>
          <w:szCs w:val="18"/>
        </w:rPr>
        <w:t xml:space="preserve"> (Shree Ganesh Remedies)</w:t>
      </w:r>
      <w:r>
        <w:rPr>
          <w:sz w:val="20"/>
          <w:szCs w:val="20"/>
        </w:rPr>
        <w:br/>
        <w:t xml:space="preserve">: Detailed 2024 AGM/AR analysis - positive on the specialty-chemicals mix-shift, compared the trajectory to Ami Organics, high ROIC / leadership-in-core-products framing. Constructive, but pre-dates the FY26-27 demand slump and is not a current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GPCB closure order was revoked (Aug 2024) - resolved. MoU with a leading Japanese company (Jan 2025). Rights issue / equity dilution history. Promoter has other companies in the same business (RPT concern; needs a deeper look per forum members). Management guidance for FY27 'non-linear growth' has been withdrawn; subdued demand into Q2. No SEBI action;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through-cycle economics: ~27% ROCE, ~21% ROE, complex-chemistry niche with high switching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Marquee global customer base (BASF, Lonza, Laurus, Aarti, Cipla) and a growing CRAMS/custom-synthesis book with a Japanese MoU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Specialty-chemicals mix-shift (toward &gt;60% of sales) at higher realisation, with Block 7/8 capacity coming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 disclosure since first concall (2024); micro-cap base with long runway if the demand cycle turns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withdrawn FY27 'non-linear growth' guidance and expects a washout year with weak near-term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~44x earnings after only a ~12% correction - valuation not aligned with the reset expectations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quarters flat-to-down; the inflection is postponed, not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concerns: promoter-linked same-line companies (RPT), disproportionate promoter salary hikes, low cash conversion, negative FCF in some years, repeated dilution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650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 business, wrong moment - 'neither' for now: management has cut its own growth guidance and flagged a washout year while the stock still trades ~44x, so the inflection thesis is on hold rather than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Unlike the classic weak-trailing / strong-recent inflection case, SGRL has decent trailing economics but a clearly deteriorating recent trend - management itself withdrew the FY27 non-linear-growth guidance and expects near-term quarters to be poor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(~44x) has not de-rated to match the reset, so there is no valuation cushion 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current trusted-user conviction; harsh.beria93's positive analysis pre-dates the slump by ~2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tier, but RPT / promoter-pay / cash-conversion concerns are noted. No 30-day revisit; re-check when demand/CRAMS visibly recovers and guidance is restored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2026-09-01T14:16:02.620Z</dcterms:created>
  <dcterms:modified xsi:type="dcterms:W3CDTF">2026-09-01T14:16:02.621Z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