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Sky Gold &amp; Diamonds Ltd (Sky Gold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B2B jewellery manufacturer with a real growth targets and a trusted user calling the promoter-selling dip a buying opportunity, but genuine receivables/cash-conversion concerns remain live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Sky Gold is a B2B jewellery manufacturer (studded/18kt gold jewellery for retail brands) pursuing sustainable 30-35% sales growth, working toward becoming India's largest B2B jewellery manufacturer. Charges customers making charges on a percentage-of-gold-value basis (not per-gram), with 15-day repricing and MCX hedging to manage gold-price exposure. Recently acquired Ganna &amp; Gold.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12,114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27.0% / 29.2%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Strong, driven by export growth per Q1 FY27 update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36.1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259 - 848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headline ROCE/ROE, but the community has repeatedly and specifically flagged working-capital/cash-conversion concerns: management's own stated goal (as of Feb 2026 concall) was to become cash-neutral only by FY26 and OCF-positive only by FY27 - implying the company was not yet OCF-positive as of early 2026. Receivables exceeding Rs 600 Cr were flagged by one poster (Feb 2026) with an explicit (though disputed) comparison to the Gensol Engineering fraud case; another poster pushed back directly asking for hard evidence before making that comparison, and no confirming evidence surfaced in the thread.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178 available posts (of 218 total) spanning Jun 2025 to Aug 2026. A sharp Jun 2025 episode - promoters sold ~3.5% stake to institutional/PE investors via warrant conversion, triggering a 5% lower-circuit move - was the dominant early theme; the community was split between viewing it as routine promoter monetization after two decades of no stake sales (partly corroborated by MF buying the same stake) versus a genuine conviction concern, compounded by a poorly-managed subsequent concall (communication/English-language issues cited by multiple posters). By Jul-Aug 2025, standalone (vs consolidated) revenue growth deceleration and flat gold volumes for 3 quarters added further caution, though one poster noted Q4/Q1 are seasonally lean quarters. From Feb 2026 the thread's central concern became working-capital/receivables quality, with the Gensol-comparison exchange described above. The most recent posts (Aug 2026) are cautiously constructive: a detailed Q1 FY27 review sets explicit conditions (PAT &gt;Rs 100 Cr, CFO positive, Advance Gold 18-20% of mix, declining debt) under which the stock "starts looking increasingly attractive," without yet confirming those conditions are met.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Vansh_Dhelia (trusted) called the Jun 2025 promoter-selling selloff "Mr. Market being a sad depressed Maniac" and stated underlying business economics and growth prospects remained fully intact - an explicit bullish read on the dip, though not phrased as a portfolio-weight disclosure. Ghonarbochon (trusted) engaged substantively and skeptically on the making-charge/margin-structure mechanics (Aug 2025), a technical clarification rather than a conviction call. Mudit.Kushalvardhan (trusted) pushed back on an unrelated income-tax-crackdown scare as inapplicable to Sky Gold. vikasbargale (trusted) shared informational videos twice, explicitly noting no position both times. Prabhat_Mohanty (trusted) drew a cautionary lesson from the episode about being wary of stock/sector hype. No trusted user made an explicit conviction/position-size disclosure in favor of the name (contrast: a non-trusted user, Ballaji_Vijayan, did disclose buying 2% of portfolio, expecting to raise to 5%, in Aug 2025).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2025-06-19 — Vansh_Dhelia</w:t>
      </w:r>
      <w:r>
        <w:rPr>
          <w:i/>
          <w:iCs/>
          <w:color w:val="666666"/>
          <w:sz w:val="18"/>
          <w:szCs w:val="18"/>
        </w:rPr>
        <w:t xml:space="preserve"> (Sky Gold Ltd)</w:t>
      </w:r>
      <w:r>
        <w:rPr>
          <w:sz w:val="20"/>
          <w:szCs w:val="20"/>
        </w:rPr>
        <w:br/>
        <w:t xml:space="preserve">: Called the promoter-selling selloff a buying opportunity; underlying business economics and growth prospects intact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Jun 2025 promoter stake sale (~3.5%, via warrant conversion to preferential/institutional investors) triggered a lower-circuit move; company acquired Ganna &amp; Gold (share-count increase explains an apparent shareholding % decline flagged by one poster as a false alarm).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specific growth targets (30-35% sustainable sales growth) reiterated across multiple concalls without requiring further stock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explicitly called the promoter-selling episode a buying opportunity with business economics intact, not a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laid out clear, checkable FY27 targets (PAT Rs 400-425 Cr, CFO positive, declining debt) that the community is actively tracking quarter to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MCX hedging and 15-day repricing genuinely mitigate gold-price volatility risk in the making-charge model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was not yet OCF-positive as of early 2026 by management's own admission (targeting only cash-neutral FY26, OCF-positive FY27) - a real, not yet resolved cash-generation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exceeding Rs 600 Cr drew an explicit (if disputed and unconfirmed) comparison to a known fraud case; while push-back in the thread was reasonable, the underlying receivables scale itself remains a legitimate quality-of-earnings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Poorly-managed concalls (communication issues) around the promoter-selling episode dented community confidence in management's investor-relations discipline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revenue growth deceleration and 3 quarters of flat gold volumes (as of mid-2025) suggest the growth story is not purely linear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 user made an explicit conviction/position-size disclosure in favor of the stock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12,114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B2B jewellery growth story with a trusted-user vote of confidence on the promoter-selling dip, tempered by genuine, still-unresolved cash-conversion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targets are specific and management-reiterated, and a trusted user explicitly framed the 2025 selloff as a buying opportunity rather than a thesis-breaker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OCF-negative status as of early 2026 and the receivables scale are real, quantifiable concerns the community has not yet resolved - the Gensol comparison, even if unconfirmed, reflects a legitimate quality-of-earnings question worth tracking, not dismissing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a moderate level pending confirmation of the FY27 targets (CFO positive, declining debt) the community itself is using as the bar for getting more constructive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2026-08-23T09:59:08.008Z</dcterms:created>
  <dcterms:modified xsi:type="dcterms:W3CDTF">2026-08-23T09:59:08.009Z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