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Solex Energy Ltd</w:t>
      </w:r>
    </w:p>
    <w:p>
      <w:pPr>
        <w:pBdr>
          <w:bottom w:val="single" w:color="CCCCCC" w:sz="6" w:space="8"/>
        </w:pBdr>
        <w:spacing w:after="200"/>
      </w:pPr>
      <w:r>
        <w:rPr>
          <w:i/>
          <w:iCs/>
          <w:color w:val="666666"/>
          <w:sz w:val="22"/>
          <w:szCs w:val="22"/>
        </w:rPr>
        <w:t xml:space="preserve">Recently mainboard-migrated solar-module manufacturer scaling aggressively toward a 15GW-by-2030 vision - down ~46% from highs after a disputed Q2FY26 revenue miss, statistically cheap post-crash (~10.5x TTM P/E) but facing a genuinely contested oversupply/commoditisation debate and a delayed cell-line</w:t>
      </w:r>
    </w:p>
    <w:p>
      <w:pPr>
        <w:pStyle w:val="Heading1"/>
        <w:spacing w:after="120" w:before="280"/>
      </w:pPr>
      <w:r>
        <w:t xml:space="preserve">Business Overview</w:t>
      </w:r>
    </w:p>
    <w:p>
      <w:pPr>
        <w:spacing w:after="120"/>
      </w:pPr>
      <w:r>
        <w:t xml:space="preserve">Incorporated 1995, Solex Energy manufactures solar photovoltaic cells and modules and does EPC in the solar-energy market, based in Gujarat. Completed SME-to-mainboard migration (Oct 2025). Vision 2030 targets 15GW module + 5GW cell manufacturing capacity; current module capacity ~4GW (2.5GW line commissioned Oct-Nov 2025), cell line pushed to ~FY27 (from an earlier FY26 target). (Source: external-lead, @ankitbahuguna84, untrusted X triage, first_seen 2026-09-04.)</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770 Cr (down 45.7% in 1 year)</w:t>
            </w:r>
          </w:p>
        </w:tc>
      </w:tr>
      <w:tr>
        <w:tc>
          <w:tcPr>
            <w:tcW w:type="dxa" w:w="3200"/>
            <w:shd w:fill="F2F2F2" w:val="clear"/>
          </w:tcPr>
          <w:p>
            <w:r>
              <w:rPr>
                <w:b/>
                <w:bCs/>
              </w:rPr>
              <w:t xml:space="preserve">52-week range</w:t>
            </w:r>
          </w:p>
        </w:tc>
        <w:tc>
          <w:tcPr>
            <w:tcW w:type="dxa" w:w="5800"/>
          </w:tcPr>
          <w:p>
            <w:r>
              <w:t xml:space="preserve">Rs 712.60 - Rs 745.00 (narrow, post-mainboard-migration range reset near lows)</w:t>
            </w:r>
          </w:p>
        </w:tc>
      </w:tr>
      <w:tr>
        <w:tc>
          <w:tcPr>
            <w:tcW w:type="dxa" w:w="3200"/>
            <w:shd w:fill="F2F2F2" w:val="clear"/>
          </w:tcPr>
          <w:p>
            <w:r>
              <w:rPr>
                <w:b/>
                <w:bCs/>
              </w:rPr>
              <w:t xml:space="preserve">Revenue (TTM)</w:t>
            </w:r>
          </w:p>
        </w:tc>
        <w:tc>
          <w:tcPr>
            <w:tcW w:type="dxa" w:w="5800"/>
          </w:tcPr>
          <w:p>
            <w:r>
              <w:t xml:space="preserve">~Rs 1,566 Cr; H1FY26 Rs 415 Cr (+52% YoY, but Q2 fell sequentially vs Q1's Rs 260 Cr)</w:t>
            </w:r>
          </w:p>
        </w:tc>
      </w:tr>
      <w:tr>
        <w:tc>
          <w:tcPr>
            <w:tcW w:type="dxa" w:w="3200"/>
            <w:shd w:fill="F2F2F2" w:val="clear"/>
          </w:tcPr>
          <w:p>
            <w:r>
              <w:rPr>
                <w:b/>
                <w:bCs/>
              </w:rPr>
              <w:t xml:space="preserve">Profit</w:t>
            </w:r>
          </w:p>
        </w:tc>
        <w:tc>
          <w:tcPr>
            <w:tcW w:type="dxa" w:w="5800"/>
          </w:tcPr>
          <w:p>
            <w:r>
              <w:t xml:space="preserve">~Rs 73.6 Cr; implied TTM P/E ~10.5x</w:t>
            </w:r>
          </w:p>
        </w:tc>
      </w:tr>
      <w:tr>
        <w:tc>
          <w:tcPr>
            <w:tcW w:type="dxa" w:w="3200"/>
            <w:shd w:fill="F2F2F2" w:val="clear"/>
          </w:tcPr>
          <w:p>
            <w:r>
              <w:rPr>
                <w:b/>
                <w:bCs/>
              </w:rPr>
              <w:t xml:space="preserve">ROE</w:t>
            </w:r>
          </w:p>
        </w:tc>
        <w:tc>
          <w:tcPr>
            <w:tcW w:type="dxa" w:w="5800"/>
          </w:tcPr>
          <w:p>
            <w:r>
              <w:t xml:space="preserve">46.43% (last reported FY, consolidated)</w:t>
            </w:r>
          </w:p>
        </w:tc>
      </w:tr>
      <w:tr>
        <w:tc>
          <w:tcPr>
            <w:tcW w:type="dxa" w:w="3200"/>
            <w:shd w:fill="F2F2F2" w:val="clear"/>
          </w:tcPr>
          <w:p>
            <w:r>
              <w:rPr>
                <w:b/>
                <w:bCs/>
              </w:rPr>
              <w:t xml:space="preserve">Debtor days</w:t>
            </w:r>
          </w:p>
        </w:tc>
        <w:tc>
          <w:tcPr>
            <w:tcW w:type="dxa" w:w="5800"/>
          </w:tcPr>
          <w:p>
            <w:r>
              <w:t xml:space="preserve">Rising: 61.9 -&gt; 77.6 days</w:t>
            </w:r>
          </w:p>
        </w:tc>
      </w:tr>
      <w:tr>
        <w:tc>
          <w:tcPr>
            <w:tcW w:type="dxa" w:w="3200"/>
            <w:shd w:fill="F2F2F2" w:val="clear"/>
          </w:tcPr>
          <w:p>
            <w:r>
              <w:rPr>
                <w:b/>
                <w:bCs/>
              </w:rPr>
              <w:t xml:space="preserve">FY26 revenue guidance</w:t>
            </w:r>
          </w:p>
        </w:tc>
        <w:tc>
          <w:tcPr>
            <w:tcW w:type="dxa" w:w="5800"/>
          </w:tcPr>
          <w:p>
            <w:r>
              <w:t xml:space="preserve">Rs 2,000+ Cr (management) - implies ~Rs 1,600 Cr required in H2FY26</w:t>
            </w:r>
          </w:p>
        </w:tc>
      </w:tr>
    </w:tbl>
    <w:p>
      <w:pPr>
        <w:spacing w:after="100"/>
      </w:pPr>
    </w:p>
    <w:p>
      <w:pPr>
        <w:spacing w:after="120"/>
      </w:pPr>
      <w:r>
        <w:t xml:space="preserve">Genuine capacity and revenue scale-up (module capacity 700MW -&gt; 4GW in ~2 years; TTM revenue already Rs 1,566 Cr) at a market cap that has been cut nearly in half (-45.7% 1yr) - the stock is statistically cheap (~10.5x TTM P/E, 46% ROE) after the correction. But H1FY26 showed an unexplained sequential revenue drop in Q2 (management attributed it to extended Gujarat monsoon delaying deliveries; a trusted community member called this 'a red herring... still unexplained'), the cell line has slipped from an FY26 to an FY27 timeline, rising debtor days signal building working-capital strain, and the community has raised a genuine, unresolved oversupply/commoditisation concern (many Indian module manufacturers expanding capacity simultaneously; thin, book-value-multiple-driven valuations across the sector).</w:t>
      </w:r>
    </w:p>
    <w:p>
      <w:pPr>
        <w:pStyle w:val="Heading1"/>
        <w:spacing w:after="120" w:before="280"/>
      </w:pPr>
      <w:r>
        <w:t xml:space="preserve">Technical Read (Weekly / Monthly MACD + Bollinger Bands, or RSI/CCI/Williams %R proxy)</w:t>
      </w:r>
    </w:p>
    <w:p>
      <w:pPr>
        <w:spacing w:after="120"/>
      </w:pPr>
      <w:r>
        <w:t xml:space="preserve">Not pulled - fundamentals/thread read gave enough signal; stock already near 52-week lows post-correction.</w:t>
      </w:r>
    </w:p>
    <w:p>
      <w:pPr>
        <w:pStyle w:val="Heading1"/>
        <w:spacing w:after="120" w:before="280"/>
      </w:pPr>
      <w:r>
        <w:t xml:space="preserve">ValuePickr Community Signal</w:t>
      </w:r>
    </w:p>
    <w:p>
      <w:pPr>
        <w:spacing w:after="120"/>
      </w:pPr>
      <w:r>
        <w:t xml:space="preserve">63-post thread (2024-2026) tracking capacity ramp, guidance, and post-mainboard-migration developments closely. Sentiment shifted from strongly bullish (2024, aggressive Vision-2030 framing) to genuinely divided after the ~50% price decline since Nov 2025, with a detailed bull/bear numerical debate (Agastya vs Prabhat_Mohanty) over whether H2FY26 guidance (Rs 1,600 Cr) is achievable.</w:t>
      </w:r>
    </w:p>
    <w:p>
      <w:pPr>
        <w:spacing w:after="120"/>
      </w:pPr>
      <w:r>
        <w:rPr>
          <w:b/>
          <w:bCs/>
          <w:sz w:val="20"/>
          <w:szCs w:val="20"/>
        </w:rPr>
        <w:t xml:space="preserve">High-conviction call from a top contributor: </w:t>
      </w:r>
      <w:r>
        <w:rPr>
          <w:sz w:val="20"/>
          <w:szCs w:val="20"/>
        </w:rPr>
        <w:t xml:space="preserve">Prabhat_Mohanty (trusted) is explicitly skeptical post-correction (Jan 2026): called the Q2 revenue drop 'a red herring... still unexplained,' noted peers (Premier, Vikram) also showing weak numbers, and called the Rs 1,600 Cr H2 target 'a herculean task' while acknowledging the European order book as 'a silver lining.' Nabendu (trusted) was an early, detailed bull (Dec 2024 thread-opening post, 12 likes) tracking capacity milestones closely but has not weighed in on the post-correction debate in the fetched window. No trusted-user directional call in either direction post-crash - genuine, live disagreement.</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2026-01-26 — Prabhat_Mohanty</w:t>
      </w:r>
      <w:r>
        <w:rPr>
          <w:i/>
          <w:iCs/>
          <w:color w:val="666666"/>
          <w:sz w:val="18"/>
          <w:szCs w:val="18"/>
        </w:rPr>
        <w:t xml:space="preserve"> (Solex Energy - Undervalued Solar PV Manufacturer or Microcap Value Trap?)</w:t>
      </w:r>
      <w:r>
        <w:rPr>
          <w:sz w:val="20"/>
          <w:szCs w:val="20"/>
        </w:rPr>
        <w:br/>
        <w:t xml:space="preserve">: Skeptical post-50%-correction: Q2FY26 sequential revenue drop is 'a red herring... still unexplained'; peers (Premier, Vikram) also weak; Rs 1,600 Cr H2FY26 target called 'a herculean task,' though European order book is a genuine positive.</w:t>
      </w:r>
    </w:p>
    <w:p>
      <w:pPr>
        <w:pStyle w:val="Heading1"/>
        <w:spacing w:after="120" w:before="280"/>
      </w:pPr>
      <w:r>
        <w:t xml:space="preserve">BSE Corporate Actions / Other Red Flags</w:t>
      </w:r>
    </w:p>
    <w:p>
      <w:pPr>
        <w:spacing w:after="120"/>
      </w:pPr>
      <w:r>
        <w:t xml:space="preserve">No SEBI or fraud action found. Mainboard migration completed Oct 2025 (was delayed from an earlier June 2025 target due to ESM listing status).</w:t>
      </w:r>
    </w:p>
    <w:p>
      <w:pPr>
        <w:pStyle w:val="Heading1"/>
        <w:spacing w:after="120" w:before="280"/>
      </w:pPr>
      <w:r>
        <w:t xml:space="preserve">Bull Case</w:t>
      </w:r>
    </w:p>
    <w:p>
      <w:pPr>
        <w:pStyle w:val="ListParagraph"/>
        <w:numPr>
          <w:ilvl w:val="0"/>
          <w:numId w:val="1"/>
        </w:numPr>
        <w:spacing w:after="60"/>
      </w:pPr>
      <w:r>
        <w:t xml:space="preserve">Real capacity scale-up already executed: 700MW -&gt; 4GW module capacity in ~2 years</w:t>
      </w:r>
    </w:p>
    <w:p>
      <w:pPr>
        <w:pStyle w:val="ListParagraph"/>
        <w:numPr>
          <w:ilvl w:val="0"/>
          <w:numId w:val="1"/>
        </w:numPr>
        <w:spacing w:after="60"/>
      </w:pPr>
      <w:r>
        <w:t xml:space="preserve">TTM revenue already Rs 1,566 Cr; ROE 46% (though partly reflects a small equity base pre-dilution)</w:t>
      </w:r>
    </w:p>
    <w:p>
      <w:pPr>
        <w:pStyle w:val="ListParagraph"/>
        <w:numPr>
          <w:ilvl w:val="0"/>
          <w:numId w:val="1"/>
        </w:numPr>
        <w:spacing w:after="60"/>
      </w:pPr>
      <w:r>
        <w:t xml:space="preserve">Statistically cheap post ~46% correction: ~10.5x TTM P/E</w:t>
      </w:r>
    </w:p>
    <w:p>
      <w:pPr>
        <w:pStyle w:val="ListParagraph"/>
        <w:numPr>
          <w:ilvl w:val="0"/>
          <w:numId w:val="1"/>
        </w:numPr>
        <w:spacing w:after="60"/>
      </w:pPr>
      <w:r>
        <w:t xml:space="preserve">Fresh Rs 500+ Cr European order win (Oct 2025) - genuine export diversification</w:t>
      </w:r>
    </w:p>
    <w:p>
      <w:pPr>
        <w:pStyle w:val="ListParagraph"/>
        <w:numPr>
          <w:ilvl w:val="0"/>
          <w:numId w:val="1"/>
        </w:numPr>
        <w:spacing w:after="60"/>
      </w:pPr>
      <w:r>
        <w:t xml:space="preserve">Founder (Dr Chetan Shah) has a credible track record scaling a prior module manufacturer (Goldi Solar)</w:t>
      </w:r>
    </w:p>
    <w:p>
      <w:pPr>
        <w:pStyle w:val="Heading1"/>
        <w:spacing w:after="120" w:before="280"/>
      </w:pPr>
      <w:r>
        <w:t xml:space="preserve">Bear Case / Key Risks</w:t>
      </w:r>
    </w:p>
    <w:p>
      <w:pPr>
        <w:pStyle w:val="ListParagraph"/>
        <w:numPr>
          <w:ilvl w:val="0"/>
          <w:numId w:val="1"/>
        </w:numPr>
        <w:spacing w:after="60"/>
      </w:pPr>
      <w:r>
        <w:t xml:space="preserve">Q2FY26 sequential revenue drop remains genuinely unexplained/disputed by a trusted community member</w:t>
      </w:r>
    </w:p>
    <w:p>
      <w:pPr>
        <w:pStyle w:val="ListParagraph"/>
        <w:numPr>
          <w:ilvl w:val="0"/>
          <w:numId w:val="1"/>
        </w:numPr>
        <w:spacing w:after="60"/>
      </w:pPr>
      <w:r>
        <w:t xml:space="preserve">Cell-line commissioning slipped from FY26 to FY27 - a full capex-cycle delay on the margin-accretive part of the plan</w:t>
      </w:r>
    </w:p>
    <w:p>
      <w:pPr>
        <w:pStyle w:val="ListParagraph"/>
        <w:numPr>
          <w:ilvl w:val="0"/>
          <w:numId w:val="1"/>
        </w:numPr>
        <w:spacing w:after="60"/>
      </w:pPr>
      <w:r>
        <w:t xml:space="preserve">Rising debtor days (61.9 -&gt; 77.6) - working-capital strain building alongside the aggressive capex</w:t>
      </w:r>
    </w:p>
    <w:p>
      <w:pPr>
        <w:pStyle w:val="ListParagraph"/>
        <w:numPr>
          <w:ilvl w:val="0"/>
          <w:numId w:val="1"/>
        </w:numPr>
        <w:spacing w:after="60"/>
      </w:pPr>
      <w:r>
        <w:t xml:space="preserve">Genuine, unresolved industry-wide oversupply/commoditisation concern (solar modules are a P/B-multiple, low-differentiation category)</w:t>
      </w:r>
    </w:p>
    <w:p>
      <w:pPr>
        <w:pStyle w:val="ListParagraph"/>
        <w:numPr>
          <w:ilvl w:val="0"/>
          <w:numId w:val="1"/>
        </w:numPr>
        <w:spacing w:after="60"/>
      </w:pPr>
      <w:r>
        <w:t xml:space="preserve">H2FY26 guidance (Rs 1,600 Cr) called 'herculean' by a trusted, numerate community member</w:t>
      </w:r>
    </w:p>
    <w:p>
      <w:pPr>
        <w:pStyle w:val="ListParagraph"/>
        <w:numPr>
          <w:ilvl w:val="0"/>
          <w:numId w:val="1"/>
        </w:numPr>
        <w:spacing w:after="60"/>
      </w:pPr>
      <w:r>
        <w:t xml:space="preserve">Peer weakness (Premier, Vikram) suggests this may be sector-wide, not company-specific</w:t>
      </w:r>
    </w:p>
    <w:p>
      <w:pPr>
        <w:pStyle w:val="Heading1"/>
        <w:spacing w:after="120" w:before="280"/>
      </w:pPr>
      <w:r>
        <w:t xml:space="preserve">Market-Cap Tier (informational — not a gate in this project)</w:t>
      </w:r>
    </w:p>
    <w:p>
      <w:pPr>
        <w:spacing w:after="120"/>
      </w:pPr>
      <w:r>
        <w:rPr>
          <w:b/>
          <w:bCs/>
        </w:rPr>
        <w:t xml:space="preserve">Small-cap (~Rs 770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weak · TAM: yes · moat: weak · valuation: yes  (score 3 / 4)</w:t>
      </w:r>
    </w:p>
    <w:p>
      <w:pPr>
        <w:spacing w:after="120"/>
      </w:pPr>
      <w:r>
        <w:rPr>
          <w:i/>
          <w:iCs/>
          <w:color w:val="666666"/>
          <w:sz w:val="20"/>
          <w:szCs w:val="20"/>
        </w:rPr>
        <w:t xml:space="preserve">Real capacity/revenue scale (4GW roadmap, Rs 1,566 Cr TTM revenue) and cheap post-correction valuation, offset by industry oversupply risk and a commodity-manufacturing moat</w:t>
      </w:r>
    </w:p>
    <w:p>
      <w:pPr>
        <w:pStyle w:val="Heading1"/>
        <w:spacing w:after="120" w:before="280"/>
      </w:pPr>
      <w:r>
        <w:t xml:space="preserve">Verdict</w:t>
      </w:r>
    </w:p>
    <w:p>
      <w:pPr>
        <w:spacing w:after="120"/>
      </w:pPr>
      <w:r>
        <w:rPr>
          <w:b/>
          <w:bCs/>
          <w:sz w:val="24"/>
          <w:szCs w:val="24"/>
        </w:rPr>
        <w:t xml:space="preserve">Real capacity scale-up and statistically cheap post-correction (four-box score 3.0), but an unresolved Q2 revenue miss and a delayed cell line mean the label is allowed but unconfirmed - conviction capped at Low-Medium pending H2FY26 delivery against guidance.</w:t>
      </w:r>
    </w:p>
    <w:p>
      <w:pPr>
        <w:pStyle w:val="ListParagraph"/>
        <w:numPr>
          <w:ilvl w:val="0"/>
          <w:numId w:val="1"/>
        </w:numPr>
        <w:spacing w:after="60"/>
      </w:pPr>
      <w:r>
        <w:t xml:space="preserve">four_box: tailwind weak (real India solar demand but genuine, community-flagged industry oversupply/commoditisation risk), tam yes (4GW-&gt;15GW capacity roadmap gives real revenue-scaling headroom off an already-demonstrated Rs 1,566 Cr TTM base), moat weak (commodity module manufacturing, thin differentiation, European/domestic competition), valuation yes (~10.5x TTM P/E after a 46% market-cap correction) -&gt; score 3.0</w:t>
      </w:r>
    </w:p>
    <w:p>
      <w:pPr>
        <w:pStyle w:val="ListParagraph"/>
        <w:numPr>
          <w:ilvl w:val="0"/>
          <w:numId w:val="1"/>
        </w:numPr>
        <w:spacing w:after="60"/>
      </w:pPr>
      <w:r>
        <w:t xml:space="preserve">Score &gt;=3.0 permits the 10x-in-2-3-years label; however the execution picture is genuinely mixed (disputed Q2 miss, cell-line delay, rising debtor days) so conviction is capped at Low-Medium with an explicit 'unconfirmed pending H2FY26 delivery' caveat rather than treated as a clean call</w:t>
      </w:r>
    </w:p>
    <w:p>
      <w:pPr>
        <w:pStyle w:val="ListParagraph"/>
        <w:numPr>
          <w:ilvl w:val="0"/>
          <w:numId w:val="1"/>
        </w:numPr>
        <w:spacing w:after="60"/>
      </w:pPr>
      <w:r>
        <w:t xml:space="preserve">No live theme match in active_themes.json (solar PV manufacturing isn't a listed theme - EV/battery-chemicals theme is adjacent but distinct) - no value_chain block written</w:t>
      </w:r>
    </w:p>
    <w:p>
      <w:pPr>
        <w:pStyle w:val="ListParagraph"/>
        <w:numPr>
          <w:ilvl w:val="0"/>
          <w:numId w:val="1"/>
        </w:numPr>
        <w:spacing w:after="60"/>
      </w:pPr>
      <w:r>
        <w:t xml:space="preserve">No red flag. Source is untrusted external-lead (X triage) - no conviction floor applies</w:t>
      </w:r>
    </w:p>
    <w:p>
      <w:pPr>
        <w:pStyle w:val="ListParagraph"/>
        <w:numPr>
          <w:ilvl w:val="0"/>
          <w:numId w:val="1"/>
        </w:numPr>
        <w:spacing w:after="60"/>
      </w:pPr>
      <w:r>
        <w:t xml:space="preserve">Re-check trigger: H2FY26 results confirming or missing the Rs 1,600 Cr guidance, and cell-line commissioning progress toward the revised FY27 timeline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2026-09-05T03:06:53.645Z</dcterms:created>
  <dcterms:modified xsi:type="dcterms:W3CDTF">2026-09-05T03:06:53.645Z</dcterms:modified>
</cp:coreProperties>
</file>

<file path=docProps/custom.xml><?xml version="1.0" encoding="utf-8"?>
<Properties xmlns="http://schemas.openxmlformats.org/officeDocument/2006/custom-properties" xmlns:vt="http://schemas.openxmlformats.org/officeDocument/2006/docPropsVTypes"/>
</file>