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Sona BLW Precision Forgings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High-quality EV-driveline compounder with genuine tech (rare-earth-free motors) and new railway/robotics legs — but at ~Rs 51,000 Cr and ~50x earnings the multi-bagger runway is gone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Sona BLW Precision Forgings Ltd (Sona Comstar) designs and makes differential assemblies and gears, traction motors, BSG and micro-hybrid systems and EV driveline components across all vehicle categories, with a growing railway components business and a newly announced advanced-robotics line and a JV with Denso.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51,000 Cr (up ~82% over the last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Revenue ~Rs 4,897 Cr; PAT ~Rs 686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~17.8% / ROE ~10.7%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Recent quarter</w:t>
            </w:r>
          </w:p>
        </w:tc>
        <w:tc>
          <w:tcPr>
            <w:tcW w:type="dxa" w:w="5800"/>
          </w:tcPr>
          <w:p>
            <w:r>
              <w:t xml:space="preserve">Q2 FY26 topline ~+24% YoY, bottomline ~+20%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~50; ~8.5x book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~28% (Blackstone-backed; has been selling down)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Operationally this is one of the better-run Indian auto-tech companies — ~24% topline and ~20% bottomline growth in Q2 FY26, EV traction-motor and differential content growth, a validated rare-earth-free ferrite-assisted motor, a fast-growing railway components business, and new optionality in advanced robotics and a Denso JV. But the market already reflects a lot of this: ~Rs 51,000 Cr market cap, P/E ~50, ~8.5x book, after an ~82% one-year run. The P/E has de-rated from the 70-90 range to ~45-55 as EV demand turned choppy (Europe is ~25% of revenue) and as management proactively removed ~Rs 2,500 Cr of order book it lacked confidence in.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pulled; near 52-week highs after a strong year.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First-time read of the most recent 30 (of 327) posts in 'Sona BLW Precision Forgings Ltd - Direct EV Play' (topic 67356), Oct 2025 to Aug 2026. Recurring themes: skepticism that the stream of MoUs/collaborations (Enedym, C-Motive, Denso) converts to commercial orders rather than 'narrative-building' (elevated-tier member PrimePassion_Share, 10 loves); the Blackstone August-2025 block sale and an employee reward tied to it; the ~Rs 2,500 Cr order-book reduction (members want it to be a one-off); Q2 FY26 beating on ~24%/~20% growth with expected gross-margin shrinkage; railway as the current topline booster; and new advanced-robotics capex (Jun 2026) plus the Denso JV as future legs. One elevated-tier member (murali603, 9 loves, 26 Jul 2026) framed a 'new 10x journey' and expressed belief the company can hit its internal 10x target over an unspecified long horizon.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Several elevated-tier roster members are constructively invested (aditya14920251 analytical and cautiously positive; Aloysius_De_Sa repeatedly 'margin of safety / still invested'; murali603 bullish on railway + long-run 10x). No core-tier signal. No conviction floor applies (elevated tier, and the project's floor rule is trust-tier + recency aware).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2026-07-26 — murali603</w:t>
      </w:r>
      <w:r>
        <w:rPr>
          <w:i/>
          <w:iCs/>
          <w:color w:val="666666"/>
          <w:sz w:val="18"/>
          <w:szCs w:val="18"/>
        </w:rPr>
        <w:t xml:space="preserve"> (Sona BLW Precision Forgings Ltd - Direct EV Play)</w:t>
      </w:r>
      <w:r>
        <w:rPr>
          <w:sz w:val="20"/>
          <w:szCs w:val="20"/>
        </w:rPr>
        <w:br/>
        <w:t xml:space="preserve">: Bullish (9 loves): 'new 10x journey started for Sona'; believes the company can hit its internal 10x target over a long horizon on new products, railway ramp and acquisitions. Elevated tier, long/unspecified time frame — informational, no conviction floor.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2025-10-13 — PrimePassion_Share</w:t>
      </w:r>
      <w:r>
        <w:rPr>
          <w:i/>
          <w:iCs/>
          <w:color w:val="666666"/>
          <w:sz w:val="18"/>
          <w:szCs w:val="18"/>
        </w:rPr>
        <w:t xml:space="preserve"> (Sona BLW Precision Forgings Ltd - Direct EV Play)</w:t>
      </w:r>
      <w:r>
        <w:rPr>
          <w:sz w:val="20"/>
          <w:szCs w:val="20"/>
        </w:rPr>
        <w:br/>
        <w:t xml:space="preserve">: Caution (10 loves): long-time investor warns the repeated collaboration/MoU announcements (Enedym, C-Motive etc.) have historically produced no real commercial output and are 'still in development'; treat as narrative, not earnings. Elevated tier — informational.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Blackstone (promoter group) block sale in August 2025 with a linked employee-reward scheme. Management proactively reduced order book by ~Rs 2,500 Cr citing low confidence in some programs — presented as a governance positive by members but a demand signal worth watching.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Best-in-class execution: ~24% topline / ~20% bottomline growth in a weak auto macro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differentiated technology — validated rare-earth-free ferrite motor reduces China rare-earth dependence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Diversification legs with real revenue potential: railway components (already lifting topline), advanced robotics, Denso JV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 content-per-vehicle growth plus alternative-supply-chain RFQs from OEMs de-risking away from China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51,000 Cr and P/E ~50 after an ~82% one-year run, a 10x in 2-3 years or 100x in 10 years is not a credible base rate under the project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 demand is choppy, especially Europe (~25% of revenue); PE has already de-rated once on this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Many announced collaborations remain MoUs, not commercial orders — flagged by an elevated-tier member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removed ~Rs 2,500 Cr of order book — fine as a one-off, a concern if it recurs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(Blackstone) has been selling down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51,000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Excellent business, wrong size for this screen — quality compounder, not a multi-bagger from here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Re-check against the old 108-screen 'excluded (too large)' bucket — that call still applies, and more so: at ~Rs 51,000 Cr and ~50x earnings, neither the 10x-in-2-3-years nor the 100x-in-10-years frame is realistic even with sharp catalysts (railway, robotics)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'neither' on size/valuation grounds despite genuine technology and top-tier management; conviction MEDIUM reflects business quality and constructive elevated-tier roster interest, not multi-bagger upside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trusted (elevated-tier) member's long-horizon '10x' optimism is logged below as informational — no conviction floor applies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2026-08-29T04:03:12.372Z</dcterms:created>
  <dcterms:modified xsi:type="dcterms:W3CDTF">2026-08-29T04:03:12.373Z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