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SpiceJet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AVOID -- Q3 FY26 shareholder funds about -Rs 1,942 Cr, auditors flagging a going-concern material uncertainty, and mounting quarterly losses</w:t>
      </w:r>
    </w:p>
    <w:p>
      <w:pPr>
        <w:shd w:fill="FFF0F0" w:val="clear"/>
        <w:spacing w:after="200"/>
      </w:pPr>
      <w:r>
        <w:rPr>
          <w:b/>
          <w:bCs/>
          <w:color w:val="A32020"/>
          <w:sz w:val="22"/>
          <w:szCs w:val="22"/>
        </w:rPr>
        <w:t xml:space="preserve">RED FLAG TIER: AVOID — </w:t>
      </w:r>
      <w:r>
        <w:rPr>
          <w:sz w:val="20"/>
          <w:szCs w:val="20"/>
        </w:rPr>
        <w:t xml:space="preserve">Q3 FY26 shareholder funds approximately -Rs 1,942 Cr (negative net worth); statutory auditors flag a material uncertainty related to going concern; substantial accumulated losses with current liabilities exceeding current assets.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SpiceJet is a low-cost Indian airline that has been through years of financial distress -- lessor disputes, grounded aircraft, litigation and repeated fundraising. A large FY25 capital raise briefly turned net worth positive, but subsequent losses have eroded it again.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1,621 Cr (down ~70% in a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worth</w:t>
            </w:r>
          </w:p>
        </w:tc>
        <w:tc>
          <w:tcPr>
            <w:tcW w:type="dxa" w:w="5800"/>
          </w:tcPr>
          <w:p>
            <w:r>
              <w:t xml:space="preserve">Q3 FY26 shareholder funds ~ -Rs 1,942 Cr (negative again after briefly turning positive in Q1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Profitability</w:t>
            </w:r>
          </w:p>
        </w:tc>
        <w:tc>
          <w:tcPr>
            <w:tcW w:type="dxa" w:w="5800"/>
          </w:tcPr>
          <w:p>
            <w:r>
              <w:t xml:space="preserve">TTM loss ~ -Rs 813 Cr; Q2 FY26 net loss ~Rs 633 Cr; Q3 FY26 consolidated net loss ~Rs 261 Cr (vs a small profit a year earlier)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Auditor</w:t>
            </w:r>
          </w:p>
        </w:tc>
        <w:tc>
          <w:tcPr>
            <w:tcW w:type="dxa" w:w="5800"/>
          </w:tcPr>
          <w:p>
            <w:r>
              <w:t xml:space="preserve">Material uncertainty related to going concern; substantial accumulated losses; current liabilities exceed current assets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9.53 - Rs 40.59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Net worth is negative again, the airline is loss-making at the operating and net level, and the statutory auditors continue to flag a material uncertainty over its ability to continue as a going concern. This is a balance-sheet in distress, not a turnaround with a margin of safety.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stock down ~70% in a year, near its 52-week low.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deep-read -- red-flag AVOID stops the process at Step 3. Thread is small (~27 posts).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Auditors have raised a going-concern material uncertainty; accumulated losses have eroded net worth; long-running lessor-dues and litigation history.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share reportedly recovered from ~1.9% to ~4.3% between Sep and Dec 2025 on fleet reactivation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FY26 revenue up ~14-77% YoY (depending on basis) as grounded aircraft returned to service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net worth (~ -Rs 1,942 Cr in Q3 FY26) and a going-concern qualification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Persistent large quarterly losses; low interest-coverage; history of lessor disputes and litigation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Airline economics are structurally fragile; any fuel or demand shock could be terminal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1,621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AVOID -- negative net worth and a going-concern material uncertainty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Red-flag tier AVOID: Q3 FY26 shareholder funds ~ -Rs 1,942 Cr and a statutory going-concern material uncertainty -- this stops the process regardless of any operational recovery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Losses are still mounting (Q2 FY26 ~ -Rs 633 Cr, Q3 FY26 ~ -Rs 261 Cr) and a brief Q1 FY26 positive net worth has already reversed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pass; filtered at Step 3, no deep thread read; thesis_fit neither,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investable until net worth is durably positive and the going-concern qualification is removed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2026-08-29T14:32:58.386Z</dcterms:created>
  <dcterms:modified xsi:type="dcterms:W3CDTF">2026-08-29T14:32:58.386Z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