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Stallion India Fluorochemicals Ltd</w:t>
      </w:r>
    </w:p>
    <w:p>
      <w:pPr>
        <w:pBdr>
          <w:bottom w:val="single" w:color="CCCCCC" w:sz="6" w:space="8"/>
        </w:pBdr>
        <w:spacing w:after="200"/>
      </w:pPr>
      <w:r>
        <w:rPr>
          <w:i/>
          <w:iCs/>
          <w:color w:val="666666"/>
          <w:sz w:val="22"/>
          <w:szCs w:val="22"/>
        </w:rPr>
        <w:t xml:space="preserve">Fast-growing refrigerant-gas specialist with genuinely strong recent numbers, undermined by a promoter share-sale/loan/rights-issue round-trip the community calls shady</w:t>
      </w:r>
    </w:p>
    <w:p>
      <w:pPr>
        <w:shd w:fill="FFF0F0" w:val="clear"/>
        <w:spacing w:after="200"/>
      </w:pPr>
      <w:r>
        <w:rPr>
          <w:b/>
          <w:bCs/>
          <w:color w:val="B8860B"/>
          <w:sz w:val="22"/>
          <w:szCs w:val="22"/>
        </w:rPr>
        <w:t xml:space="preserve">RED FLAG TIER: HIGH CAUTION — </w:t>
      </w:r>
      <w:r>
        <w:rPr>
          <w:sz w:val="20"/>
          <w:szCs w:val="20"/>
        </w:rPr>
        <w:t xml:space="preserve">Multiple trusted community members flagged a specific promoter transaction pattern — selling ~2% of the company at a high price, routing the proceeds back to the company as an interest-free loan, then converting that loan into rights-issue shares at a much lower price during a ~30%-dilutive rights issue — as a self-dealing round-trip, compounded by an unexplained independent-director resignation shortly after. Not a confirmed fraud or promoter-holding collapse, but a real, actively-disputed governance concern serious enough to warrant explicit caution.</w:t>
      </w:r>
    </w:p>
    <w:p>
      <w:pPr>
        <w:pStyle w:val="Heading1"/>
        <w:spacing w:after="120" w:before="280"/>
      </w:pPr>
      <w:r>
        <w:t xml:space="preserve">Business Overview</w:t>
      </w:r>
    </w:p>
    <w:p>
      <w:pPr>
        <w:spacing w:after="120"/>
      </w:pPr>
      <w:r>
        <w:t xml:space="preserve">Stallion India Fluorochemicals debulks, blends and processes refrigerant and industrial gases (HFCs, moving into HFOs) for automotive, HVAC, pharma, defense and semiconductor customers, and is building a backward-integrated R-32 manufacturing plant (Bhilwara, Rajasthan) to reduce raw-material import dependence.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2,696 Cr</w:t>
            </w:r>
          </w:p>
        </w:tc>
      </w:tr>
      <w:tr>
        <w:tc>
          <w:tcPr>
            <w:tcW w:type="dxa" w:w="3200"/>
            <w:shd w:fill="F2F2F2" w:val="clear"/>
          </w:tcPr>
          <w:p>
            <w:r>
              <w:rPr>
                <w:b/>
                <w:bCs/>
              </w:rPr>
              <w:t xml:space="preserve">ROCE</w:t>
            </w:r>
          </w:p>
        </w:tc>
        <w:tc>
          <w:tcPr>
            <w:tcW w:type="dxa" w:w="5800"/>
          </w:tcPr>
          <w:p>
            <w:r>
              <w:t xml:space="preserve">11.8%</w:t>
            </w:r>
          </w:p>
        </w:tc>
      </w:tr>
      <w:tr>
        <w:tc>
          <w:tcPr>
            <w:tcW w:type="dxa" w:w="3200"/>
            <w:shd w:fill="F2F2F2" w:val="clear"/>
          </w:tcPr>
          <w:p>
            <w:r>
              <w:rPr>
                <w:b/>
                <w:bCs/>
              </w:rPr>
              <w:t xml:space="preserve">ROE</w:t>
            </w:r>
          </w:p>
        </w:tc>
        <w:tc>
          <w:tcPr>
            <w:tcW w:type="dxa" w:w="5800"/>
          </w:tcPr>
          <w:p>
            <w:r>
              <w:t xml:space="preserve">8.93% (3yr avg 11.4%)</w:t>
            </w:r>
          </w:p>
        </w:tc>
      </w:tr>
      <w:tr>
        <w:tc>
          <w:tcPr>
            <w:tcW w:type="dxa" w:w="3200"/>
            <w:shd w:fill="F2F2F2" w:val="clear"/>
          </w:tcPr>
          <w:p>
            <w:r>
              <w:rPr>
                <w:b/>
                <w:bCs/>
              </w:rPr>
              <w:t xml:space="preserve">Revenue/profit growth</w:t>
            </w:r>
          </w:p>
        </w:tc>
        <w:tc>
          <w:tcPr>
            <w:tcW w:type="dxa" w:w="5800"/>
          </w:tcPr>
          <w:p>
            <w:r>
              <w:t xml:space="preserve">~14.9%/34.8% CAGR (5yr)</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52-week range</w:t>
            </w:r>
          </w:p>
        </w:tc>
        <w:tc>
          <w:tcPr>
            <w:tcW w:type="dxa" w:w="5800"/>
          </w:tcPr>
          <w:p>
            <w:r>
              <w:t xml:space="preserve">Rs 99.0 - 361</w:t>
            </w:r>
          </w:p>
        </w:tc>
      </w:tr>
    </w:tbl>
    <w:p>
      <w:pPr>
        <w:spacing w:after="100"/>
      </w:pPr>
    </w:p>
    <w:p>
      <w:pPr>
        <w:spacing w:after="120"/>
      </w:pPr>
      <w:r>
        <w:t xml:space="preserve">Recent quarters have been genuinely strong and accelerating: FY26 revenue +14.4% YoY / PAT +35.6% YoY (both ahead of management's own guidance), and Q1FY27 EBITDA +75.9% YoY / PAT +79.2% YoY with margins expanding sharply (EBITDA margin ~20.3%, PAT margin ~14.9%) on better product mix and HFO contribution.</w:t>
      </w:r>
    </w:p>
    <w:p>
      <w:pPr>
        <w:pStyle w:val="Heading1"/>
        <w:spacing w:after="120" w:before="280"/>
      </w:pPr>
      <w:r>
        <w:t xml:space="preserve">Technical Read (Weekly / Monthly MACD + Bollinger Bands, or RSI/CCI/Williams %R proxy)</w:t>
      </w:r>
    </w:p>
    <w:p>
      <w:pPr>
        <w:spacing w:after="120"/>
      </w:pPr>
      <w:r>
        <w:t xml:space="preserve">Stock fell from a peak of ~Rs 423 (Oct 2025) to ~Rs 169 (Nov 2025) on governance concerns before partially recovering; not independently charted further this pass.</w:t>
      </w:r>
    </w:p>
    <w:p>
      <w:pPr>
        <w:pStyle w:val="Heading1"/>
        <w:spacing w:after="120" w:before="280"/>
      </w:pPr>
      <w:r>
        <w:t xml:space="preserve">ValuePickr Community Signal</w:t>
      </w:r>
    </w:p>
    <w:p>
      <w:pPr>
        <w:spacing w:after="120"/>
      </w:pPr>
      <w:r>
        <w:t xml:space="preserve">Read the most recent 50 of 68 fetched posts (2025-10 to 2026-08), single batch, from a thread covering the company's first year post-IPO (Jan 2025). Sentiment swung sharply in Nov 2025 when the promoter sold ~2% of the company (~Rs 45.7 Cr) and publicly stated the proceeds would be lent back to the company interest-free — several posters called this 'fishy'/'shady', and the pattern repeated in Feb 2026 when the company launched a ~30%-dilutive rights issue at Rs 99/share, with the promoter's earlier interest-free loan then converted into rights-issue participation at that lower price, effectively letting the promoter buy back in cheap after selling high. An independent director resigned in Apr 2026, which trusted users read as confirming rather than allaying the governance concern.</w:t>
      </w:r>
    </w:p>
    <w:p>
      <w:pPr>
        <w:spacing w:after="120"/>
      </w:pPr>
      <w:r>
        <w:rPr>
          <w:b/>
          <w:bCs/>
          <w:sz w:val="20"/>
          <w:szCs w:val="20"/>
        </w:rPr>
        <w:t xml:space="preserve">High-conviction call from a top contributor: </w:t>
      </w:r>
      <w:r>
        <w:rPr>
          <w:sz w:val="20"/>
          <w:szCs w:val="20"/>
        </w:rPr>
        <w:t xml:space="preserve">Trusted user Satishwe was the most consistently positive voice, praising management's concall transparency and framing the promoter loan as 'strong positive intent... rather than diluting or taking debt' since it carried 0% interest. But multiple other trusted users pushed back hard: Cshar called the pattern 'shady promotor actions,' 'poor corporate governance,' and separately alleged 'result manipulation'; UrsRafeek summarized it bluntly as 'Intelligent promoter, foolish retail investors' (sell high, rights-buy low); VALUE2017 flagged the subsequent independent-director resignation as 'not a good sign.'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2025-11-03 — Satishwe</w:t>
      </w:r>
      <w:r>
        <w:rPr>
          <w:i/>
          <w:iCs/>
          <w:color w:val="666666"/>
          <w:sz w:val="18"/>
          <w:szCs w:val="18"/>
        </w:rPr>
        <w:t xml:space="preserve"> (Stallion India Fluorochemicals)</w:t>
      </w:r>
      <w:r>
        <w:rPr>
          <w:sz w:val="20"/>
          <w:szCs w:val="20"/>
        </w:rPr>
        <w:br/>
        <w:t xml:space="preserve">: Read the promoter's stock sale plus interest-free loan-back to the company as a positive signal of intent to speed up capex without adding debt or diluting, an opposing view to other trusted users on the same sequence of events.</w:t>
      </w:r>
    </w:p>
    <w:p>
      <w:pPr>
        <w:spacing w:after="100"/>
      </w:pPr>
      <w:r>
        <w:rPr>
          <w:b/>
          <w:bCs/>
          <w:sz w:val="20"/>
          <w:szCs w:val="20"/>
        </w:rPr>
        <w:t xml:space="preserve">2026-04-22 — Cshar</w:t>
      </w:r>
      <w:r>
        <w:rPr>
          <w:i/>
          <w:iCs/>
          <w:color w:val="666666"/>
          <w:sz w:val="18"/>
          <w:szCs w:val="18"/>
        </w:rPr>
        <w:t xml:space="preserve"> (Stallion India Fluorochemicals)</w:t>
      </w:r>
      <w:r>
        <w:rPr>
          <w:sz w:val="20"/>
          <w:szCs w:val="20"/>
        </w:rPr>
        <w:br/>
        <w:t xml:space="preserve">: Characterized the full sequence (selling high, loaning to the company, large dilutive rights issue, converting the loan into cheap rights shares) plus an independent-director resignation as clear evidence of poor corporate governance, alleging results have also been managed.</w:t>
      </w:r>
    </w:p>
    <w:p>
      <w:pPr>
        <w:spacing w:after="100"/>
      </w:pPr>
      <w:r>
        <w:rPr>
          <w:b/>
          <w:bCs/>
          <w:sz w:val="20"/>
          <w:szCs w:val="20"/>
        </w:rPr>
        <w:t xml:space="preserve">2026-02-06 — UrsRafeek</w:t>
      </w:r>
      <w:r>
        <w:rPr>
          <w:i/>
          <w:iCs/>
          <w:color w:val="666666"/>
          <w:sz w:val="18"/>
          <w:szCs w:val="18"/>
        </w:rPr>
        <w:t xml:space="preserve"> (Stallion India Fluorochemicals)</w:t>
      </w:r>
      <w:r>
        <w:rPr>
          <w:sz w:val="20"/>
          <w:szCs w:val="20"/>
        </w:rPr>
        <w:br/>
        <w:t xml:space="preserve">: Summarized the promoter's stock sale at ~Rs 280/share followed by rights-issue participation at Rs 99/share (after routing the sale proceeds through the company as an interest-free loan later converted at the rights price) as the promoter effectively profiting at retail investors' expense.</w:t>
      </w:r>
    </w:p>
    <w:p>
      <w:pPr>
        <w:pStyle w:val="Heading1"/>
        <w:spacing w:after="120" w:before="280"/>
      </w:pPr>
      <w:r>
        <w:t xml:space="preserve">BSE Corporate Actions / Other Red Flags</w:t>
      </w:r>
    </w:p>
    <w:p>
      <w:pPr>
        <w:spacing w:after="120"/>
      </w:pPr>
      <w:r>
        <w:t xml:space="preserve">Independent director resignation, Apr 2026, following the promoter share-sale/loan/rights-issue sequence — no stated reason disputed as insufficient by trusted user VALUE2017 and others.</w:t>
      </w:r>
    </w:p>
    <w:p>
      <w:pPr>
        <w:pStyle w:val="Heading1"/>
        <w:spacing w:after="120" w:before="280"/>
      </w:pPr>
      <w:r>
        <w:t xml:space="preserve">Bull Case</w:t>
      </w:r>
    </w:p>
    <w:p>
      <w:pPr>
        <w:pStyle w:val="ListParagraph"/>
        <w:numPr>
          <w:ilvl w:val="0"/>
          <w:numId w:val="1"/>
        </w:numPr>
        <w:spacing w:after="60"/>
      </w:pPr>
      <w:r>
        <w:t xml:space="preserve">Genuinely strong and accelerating recent financial performance: FY26 beat management's own revenue/PAT guidance, and Q1FY27 EBITDA/PAT both grew ~76-79% YoY with expanding margins</w:t>
      </w:r>
    </w:p>
    <w:p>
      <w:pPr>
        <w:pStyle w:val="ListParagraph"/>
        <w:numPr>
          <w:ilvl w:val="0"/>
          <w:numId w:val="1"/>
        </w:numPr>
        <w:spacing w:after="60"/>
      </w:pPr>
      <w:r>
        <w:t xml:space="preserve">Backward integration into R-32 manufacturing (Bhilwara, environmental clearance received, commercial production targeted for Oct 2026) directly addresses import-dependence risk flagged in the company's own RHP</w:t>
      </w:r>
    </w:p>
    <w:p>
      <w:pPr>
        <w:pStyle w:val="ListParagraph"/>
        <w:numPr>
          <w:ilvl w:val="0"/>
          <w:numId w:val="1"/>
        </w:numPr>
        <w:spacing w:after="60"/>
      </w:pPr>
      <w:r>
        <w:t xml:space="preserve">Structural regulatory tailwind: anti-dumping duty imposed on Chinese R-134a imports (Dec 2025) and India's Kigali Amendment HFC-phasedown timeline is more favorable (freeze in 2028) than most Group-1 markets</w:t>
      </w:r>
    </w:p>
    <w:p>
      <w:pPr>
        <w:pStyle w:val="ListParagraph"/>
        <w:numPr>
          <w:ilvl w:val="0"/>
          <w:numId w:val="1"/>
        </w:numPr>
        <w:spacing w:after="60"/>
      </w:pPr>
      <w:r>
        <w:t xml:space="preserve">Strategic MoU with Portugal's SYS ADVANCE for helium recovery/liquefaction (space/defense applications, working with ISRO) with management issuing a 30-35% 3-year revenue CAGR guidance</w:t>
      </w:r>
    </w:p>
    <w:p>
      <w:pPr>
        <w:pStyle w:val="Heading1"/>
        <w:spacing w:after="120" w:before="280"/>
      </w:pPr>
      <w:r>
        <w:t xml:space="preserve">Bear Case / Key Risks</w:t>
      </w:r>
    </w:p>
    <w:p>
      <w:pPr>
        <w:pStyle w:val="ListParagraph"/>
        <w:numPr>
          <w:ilvl w:val="0"/>
          <w:numId w:val="1"/>
        </w:numPr>
        <w:spacing w:after="60"/>
      </w:pPr>
      <w:r>
        <w:t xml:space="preserve">A specific, multi-step promoter transaction — selling ~2% stake high, routing proceeds back as an interest-free loan, then converting that loan into rights-issue shares at a much lower price — is viewed by multiple trusted users as a self-dealing round-trip that benefited the promoter at retail investors' expense</w:t>
      </w:r>
    </w:p>
    <w:p>
      <w:pPr>
        <w:pStyle w:val="ListParagraph"/>
        <w:numPr>
          <w:ilvl w:val="0"/>
          <w:numId w:val="1"/>
        </w:numPr>
        <w:spacing w:after="60"/>
      </w:pPr>
      <w:r>
        <w:t xml:space="preserve">~30% equity dilution via the rights issue itself is a real, immediate shareholder cost regardless of how the promoter-loan question is resolved</w:t>
      </w:r>
    </w:p>
    <w:p>
      <w:pPr>
        <w:pStyle w:val="ListParagraph"/>
        <w:numPr>
          <w:ilvl w:val="0"/>
          <w:numId w:val="1"/>
        </w:numPr>
        <w:spacing w:after="60"/>
      </w:pPr>
      <w:r>
        <w:t xml:space="preserve">Independent director resignation shortly after this sequence, without a stated reason regarded as sufficient by the community, compounds rather than resolves the governance concern</w:t>
      </w:r>
    </w:p>
    <w:p>
      <w:pPr>
        <w:pStyle w:val="ListParagraph"/>
        <w:numPr>
          <w:ilvl w:val="0"/>
          <w:numId w:val="1"/>
        </w:numPr>
        <w:spacing w:after="60"/>
      </w:pPr>
      <w:r>
        <w:t xml:space="preserve">An independent analyst (Dr. Vijay Malik) flagged the core HFC-debulking business (87% of revenue) as commoditized with limited differentiation, a structural competitive concern separate from the governance issue</w:t>
      </w:r>
    </w:p>
    <w:p>
      <w:pPr>
        <w:pStyle w:val="Heading1"/>
        <w:spacing w:after="120" w:before="280"/>
      </w:pPr>
      <w:r>
        <w:t xml:space="preserve">Market-Cap Tier (informational — not a gate in this project)</w:t>
      </w:r>
    </w:p>
    <w:p>
      <w:pPr>
        <w:spacing w:after="120"/>
      </w:pPr>
      <w:r>
        <w:rPr>
          <w:b/>
          <w:bCs/>
        </w:rPr>
        <w:t xml:space="preserve">Small-cap (~Rs 2,696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Strong, accelerating fundamentals and a real regulatory tailwind sitting directly underneath a promoter self-dealing pattern the community itself is split on</w:t>
      </w:r>
    </w:p>
    <w:p>
      <w:pPr>
        <w:pStyle w:val="ListParagraph"/>
        <w:numPr>
          <w:ilvl w:val="0"/>
          <w:numId w:val="1"/>
        </w:numPr>
        <w:spacing w:after="60"/>
      </w:pPr>
      <w:r>
        <w:t xml:space="preserve">Per the HIGH CAUTION rule, a specific, multi-step promoter transaction pattern (sell high, loan back, convert to cheap rights shares) combined with an unexplained independent-director resignation warrants proceeding to a full write-up with capped conviction rather than being filtered out, given the fundamentals are genuinely strong enough to matter</w:t>
      </w:r>
    </w:p>
    <w:p>
      <w:pPr>
        <w:pStyle w:val="ListParagraph"/>
        <w:numPr>
          <w:ilvl w:val="0"/>
          <w:numId w:val="1"/>
        </w:numPr>
        <w:spacing w:after="60"/>
      </w:pPr>
      <w:r>
        <w:t xml:space="preserve">The community itself is split — one trusted user reads the promoter's loan-back as a positive funding-without-debt signal, several others read the full sequence as self-dealing — which argues for Low-Medium conviction pending resolution rather than either extreme</w:t>
      </w:r>
    </w:p>
    <w:p>
      <w:pPr>
        <w:pStyle w:val="ListParagraph"/>
        <w:numPr>
          <w:ilvl w:val="0"/>
          <w:numId w:val="1"/>
        </w:numPr>
        <w:spacing w:after="60"/>
      </w:pPr>
      <w:r>
        <w:t xml:space="preserve">The R-32 backward integration (commercial production guided for Oct 2026) is the next concrete data point that would meaningfully de-risk the growth thesis independent of the governance question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2026-08-26T17:12:18.927Z</dcterms:created>
  <dcterms:modified xsi:type="dcterms:W3CDTF">2026-08-26T17:12:18.928Z</dcterms:modified>
</cp:coreProperties>
</file>

<file path=docProps/custom.xml><?xml version="1.0" encoding="utf-8"?>
<Properties xmlns="http://schemas.openxmlformats.org/officeDocument/2006/custom-properties" xmlns:vt="http://schemas.openxmlformats.org/officeDocument/2006/docPropsVTypes"/>
</file>