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Steelcast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high-integrity steel-caster with ~75-80% of the US railroad-casting market and a China+1 tailwind — genuine quality at ~50-55% utilisation, but fairly valued and hit by a US-tariff speed-breaker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Bhavnagar-based maker of high-integrity steel and alloy-steel castings (2.5 kg to 2.5 t, expanding to 6 t), 29,000 TPA across 4 plants using both sand and shell moulding. End markets: mining, earth-moving, railroad (US), locomotives, cement, steel, defence (de-prioritised). ~60% export revenue; captive solar/hybrid power. Tamboli family, promoter ~45%.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3,350 Cr (+~53% in 1 yr)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~Rs 441 Cr / ~Rs 91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(3-yr)</w:t>
            </w:r>
          </w:p>
        </w:tc>
        <w:tc>
          <w:tcPr>
            <w:tcW w:type="dxa" w:w="5800"/>
          </w:tcPr>
          <w:p>
            <w:r>
              <w:t xml:space="preserve">~26%; almost debt-free; ~20% dividend payout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 utilisation</w:t>
            </w:r>
          </w:p>
        </w:tc>
        <w:tc>
          <w:tcPr>
            <w:tcW w:type="dxa" w:w="5800"/>
          </w:tcPr>
          <w:p>
            <w:r>
              <w:t xml:space="preserve">~50-55% (target 90% by FY28-29)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~26-29% (structural, aided by captive power)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Mgmt guidance</w:t>
            </w:r>
          </w:p>
        </w:tc>
        <w:tc>
          <w:tcPr>
            <w:tcW w:type="dxa" w:w="5800"/>
          </w:tcPr>
          <w:p>
            <w:r>
              <w:t xml:space="preserve">28-29% OPM with ~20% revenue CAGR for 3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~8.5x book, ~37x trailing earnings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+18% YoY (~Rs 125 Cr)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structurally attractive B2B caster: ~75-80% share of US railroad castings, approved vendor to Caterpillar and Komatsu (one customer ~32% of revenue), ~25% cost advantage vs global peers, and a rare sand+shell moulding capability. Operating leverage is the story — utilisation is only ~50-55%, so a move toward 90% plus a ~10K-ton modular expansion (2+ years out) plus a 6-ton casting-weight extension give a multi-year runway at 28-29% margins. The near-term drag is US tariffs, which softened Q3 FY26 and are expected to resolve for a Q4 recovery — a non-impairing speed-breaker that does not touch the multi-year earnings power of a unique low-cost caster. Valuation (~8.5x book, ~37x earnings, stock +53% in a year) already reflects much of the China+1 and operating-leverage narrative.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Forgings / castings / fasteners / cap-good exporters to US (reshoring, Europe deindustrialisation)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high-integrity steel &amp; alloy-steel caster (2.5 kg-2.5 t, expanding to 6 t); ~75-80% share of US railroad castings; approved vendor to Caterpillar/Komatsu; ~60% export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qualified high-integrity casting capacity for mining/railroad OEMs (long approval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PTC Industries, Gujarat Intrux, Simplex Castings, Magna Electro Castings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Capital-cycle read: supply consolidating toward qualified low-cost survivors as Chinese sourcing is designed out -&gt; pricing power; Steelcast at ~50-55% utilisation carries the operating leverage, but a US-tariff speed-breaker is depressing FY26 volumes.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is quality-aware but quieter lately (detailed FY-notes cadence). Long-running bull thesis around the structural China+1 supply-chain shift, US-railroad dominance, and margin durability; recent posts (Nov 2025-Feb 2026) note the tariff-driven soft patch and management's 28-29% OPM / 20% growth guidance, plus the decision to exit defence bidding.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Simrat published a detailed FY23 annual-report note framing the structural China-diversification shift (positive, but ~2 years old). Worldlywiseinvestors shared the investor deck (neutral, 'not a recommendation').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2023-07-15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~75-80% of US railroad castings; Caterpillar/Komatsu approved; ~25% global cost advantage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 operating-leverage runway: ~50-55% utilisation toward 90%, at 28-29%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China+1 casting-reshoring tailwind; 60% export revenue; debt-free, 26%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 sand + shell moulding capability; 6-decade high-integrity track record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Cyclical end-markets (mining, railroad, earth-moving); customer concentration (~32% one 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US-tariff speed-breaker hitting FY26 volumes; timing of resolution uncertain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fair-to-full: ~8.5x book, ~37x earnings after a 53% one-year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expansion is years away; near-term growth is utilisation-led only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3,350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(China+1 casting reshoring + US railroad); tam weak (Rs 3,350 Cr, headroom ~2-3x over 3-4 yrs not 10x-in-2-3-yr); moat yes (75-80% US railroad share, Cat/Komatsu approvals, cost edge, sand+shell rarity); valuation weak (~8.5x book / ~37x earnings). Score 3.0 permits a label, but honest return maths doesn't reach 10x/2-3yr -&gt; thesis_fit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 niche caster with a real China+1 tailwind and operating-leverage runway, but return maths caps at ~2-3x over 3-4 yrs and valuation is fair — 'neither', Medium-High conviction; watch the tariff resolution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4.8 trusted-x-watch (@LearningEleven concall-quote digest, 'worth a manual look later') — a snippet mention, explicitly not a conviction call; no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 — China+1 casting reshoring + US railroad; tam weak — Rs 3,350 Cr, headroom to ~2-3x visible not 10x-in-2-3-yr; moat yes — 75-80% US railroad share, Cat/Komatsu approvals, cost edge, sand+shell rarity; valuation weak — ~8.5x book / ~37x earnings, much priced). Score 3.0 permits a return-magnitude label, but the honest return maths (utilisation 50-&gt;90% + 20% CAGR + margin hold =&gt; ~2-3x over 3-4 yrs) does not reach 10x-in-2-3-yr or 100x-in-10-yr, so thesis_fit is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Speed-breaker rule: the US-tariff hit to Q3 FY26 is a non-impairing speed-breaker (one-off trade shock, doesn't touch the multi-year earnings power of a unique low-cost caster) — 'speed-breaker (non-impairing): US tariffs softened Q3 FY26 — watch a Q4/Q1 volume recovery on tariff resolution'; revisit_after_30d set true on that basis.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Medium-High: genuine business quality (26% ROE, structural moat, operating-leverage runway) held back by cyclical end-markets and a full-ish valuation. No red flag.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read.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2026-09-04T02:30:15.791Z</dcterms:created>
  <dcterms:modified xsi:type="dcterms:W3CDTF">2026-09-04T02:30:15.792Z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