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Strides Pharma Science Ltd</w:t>
      </w:r>
    </w:p>
    <w:p>
      <w:pPr>
        <w:pBdr>
          <w:bottom w:val="single" w:color="CCCCCC" w:sz="6" w:space="8"/>
        </w:pBdr>
        <w:spacing w:after="200"/>
      </w:pPr>
      <w:r>
        <w:rPr>
          <w:i/>
          <w:iCs/>
          <w:color w:val="666666"/>
          <w:sz w:val="22"/>
          <w:szCs w:val="22"/>
        </w:rPr>
        <w:t xml:space="preserve">Post-demerger pharma manufacturer (OneSource CDMO spun off) trading cheap on EBITA multiples, but weak trailing growth and Biosecure Act uncertainty cloud the CDMO leg's thesis</w:t>
      </w:r>
    </w:p>
    <w:p>
      <w:pPr>
        <w:pStyle w:val="Heading1"/>
        <w:spacing w:after="120" w:before="280"/>
      </w:pPr>
      <w:r>
        <w:t xml:space="preserve">Business Overview</w:t>
      </w:r>
    </w:p>
    <w:p>
      <w:pPr>
        <w:spacing w:after="120"/>
      </w:pPr>
      <w:r>
        <w:t xml:space="preserve">Generic pharma manufacturer across US/EU/other regulated markets (soft-gelatin, injectables); demerged its CDMO business (Stelis + complex injectables + biologics) into OneSource Specialty Pharma in Dec 2024.</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9,090 Cr</w:t>
            </w:r>
          </w:p>
        </w:tc>
      </w:tr>
      <w:tr>
        <w:tc>
          <w:tcPr>
            <w:tcW w:type="dxa" w:w="3200"/>
            <w:shd w:fill="F2F2F2" w:val="clear"/>
          </w:tcPr>
          <w:p>
            <w:r>
              <w:rPr>
                <w:b/>
                <w:bCs/>
              </w:rPr>
              <w:t xml:space="preserve">ROCE</w:t>
            </w:r>
          </w:p>
        </w:tc>
        <w:tc>
          <w:tcPr>
            <w:tcW w:type="dxa" w:w="5800"/>
          </w:tcPr>
          <w:p>
            <w:r>
              <w:t xml:space="preserve">15.3-21% (mixed reporting across sources)</w:t>
            </w:r>
          </w:p>
        </w:tc>
      </w:tr>
      <w:tr>
        <w:tc>
          <w:tcPr>
            <w:tcW w:type="dxa" w:w="3200"/>
            <w:shd w:fill="F2F2F2" w:val="clear"/>
          </w:tcPr>
          <w:p>
            <w:r>
              <w:rPr>
                <w:b/>
                <w:bCs/>
              </w:rPr>
              <w:t xml:space="preserve">Debt/Equity</w:t>
            </w:r>
          </w:p>
        </w:tc>
        <w:tc>
          <w:tcPr>
            <w:tcW w:type="dxa" w:w="5800"/>
          </w:tcPr>
          <w:p>
            <w:r>
              <w:t xml:space="preserve">0.57-0.70</w:t>
            </w:r>
          </w:p>
        </w:tc>
      </w:tr>
      <w:tr>
        <w:tc>
          <w:tcPr>
            <w:tcW w:type="dxa" w:w="3200"/>
            <w:shd w:fill="F2F2F2" w:val="clear"/>
          </w:tcPr>
          <w:p>
            <w:r>
              <w:rPr>
                <w:b/>
                <w:bCs/>
              </w:rPr>
              <w:t xml:space="preserve">Revenue growth</w:t>
            </w:r>
          </w:p>
        </w:tc>
        <w:tc>
          <w:tcPr>
            <w:tcW w:type="dxa" w:w="5800"/>
          </w:tcPr>
          <w:p>
            <w:r>
              <w:t xml:space="preserve">5yr sales CAGR only 7.94%; Q1FY27 revenue +13% YoY (ex-US +17%, US flat)</w:t>
            </w:r>
          </w:p>
        </w:tc>
      </w:tr>
    </w:tbl>
    <w:p>
      <w:pPr>
        <w:spacing w:after="100"/>
      </w:pPr>
    </w:p>
    <w:p>
      <w:pPr>
        <w:spacing w:after="120"/>
      </w:pPr>
      <w:r>
        <w:t xml:space="preserve">Mixed/conflicting reported return metrics (one source showed an anomalous 140% ROE, likely a post-demerger equity-base distortion) and weak 5yr trailing growth; the core business is now smaller and more debt-focused post-demerger.</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most recent 50 of 380 posts (Dec 2022 to Dec 2024), covering the Stelis/CDMO cash-burn debate, Arrotex-proceeds deleveraging, and the Dec 2024 OneSource demerger and its confusing post-demerger valuation math.</w:t>
      </w:r>
    </w:p>
    <w:p>
      <w:pPr>
        <w:spacing w:after="120"/>
      </w:pPr>
      <w:r>
        <w:rPr>
          <w:b/>
          <w:bCs/>
          <w:sz w:val="20"/>
          <w:szCs w:val="20"/>
        </w:rPr>
        <w:t xml:space="preserve">High-conviction call from a top contributor: </w:t>
      </w:r>
      <w:r>
        <w:rPr>
          <w:sz w:val="20"/>
          <w:szCs w:val="20"/>
        </w:rPr>
        <w:t xml:space="preserve">manoopatil provided detailed, sustained concall coverage (2023-2024) tracking debt reduction (net debt/EBITDA from &gt;3.4x toward &lt;3x) and reaffirmed EBITA guidance through the CDMO consolidation. Post-demerger (Dec 2024), the community (Sudhakar_Subramanian, AJain, manoopatil) debated whether the ~50% Strides stock-price decline fairly reflected OneSource's carved-out value, with manoopatil arguing core Strides at ~8x EBITA looked 'fairly attractive' - but no trusted-roster user took a clear position, and randomquarks (Dec 2024) flagged that the entire CDMO diversification thesis (both Strides' remaining stake and OneSource) hinges on the US Biosecure Act passing, which he judged 'very unlikely.'</w:t>
      </w:r>
    </w:p>
    <w:p>
      <w:pPr>
        <w:pStyle w:val="Heading1"/>
        <w:spacing w:after="120" w:before="280"/>
      </w:pPr>
      <w:r>
        <w:t xml:space="preserve">BSE Corporate Actions / Other Red Flags</w:t>
      </w:r>
    </w:p>
    <w:p>
      <w:pPr>
        <w:spacing w:after="120"/>
      </w:pPr>
      <w:r>
        <w:t xml:space="preserve">Not checked.</w:t>
      </w:r>
    </w:p>
    <w:p>
      <w:pPr>
        <w:pStyle w:val="Heading1"/>
        <w:spacing w:after="120" w:before="280"/>
      </w:pPr>
      <w:r>
        <w:t xml:space="preserve">Bull Case</w:t>
      </w:r>
    </w:p>
    <w:p>
      <w:pPr>
        <w:pStyle w:val="ListParagraph"/>
        <w:numPr>
          <w:ilvl w:val="0"/>
          <w:numId w:val="1"/>
        </w:numPr>
        <w:spacing w:after="60"/>
      </w:pPr>
      <w:r>
        <w:t xml:space="preserve">Post-demerger core Strides business reportedly trades around 8x EBITA per community math, cheap if FY25 EBITA guidance (Rs 750-800 Cr) holds</w:t>
      </w:r>
    </w:p>
    <w:p>
      <w:pPr>
        <w:pStyle w:val="ListParagraph"/>
        <w:numPr>
          <w:ilvl w:val="0"/>
          <w:numId w:val="1"/>
        </w:numPr>
        <w:spacing w:after="60"/>
      </w:pPr>
      <w:r>
        <w:t xml:space="preserve">Multi-year, well-documented deleveraging (Arrotex proceeds, Syngene transaction) reduced net debt/EBITDA meaningfully</w:t>
      </w:r>
    </w:p>
    <w:p>
      <w:pPr>
        <w:pStyle w:val="ListParagraph"/>
        <w:numPr>
          <w:ilvl w:val="0"/>
          <w:numId w:val="1"/>
        </w:numPr>
        <w:spacing w:after="60"/>
      </w:pPr>
      <w:r>
        <w:t xml:space="preserve">US business hit its highest-ever quarterly revenue in FY23 with continued high-single-digit growth into FY27</w:t>
      </w:r>
    </w:p>
    <w:p>
      <w:pPr>
        <w:pStyle w:val="Heading1"/>
        <w:spacing w:after="120" w:before="280"/>
      </w:pPr>
      <w:r>
        <w:t xml:space="preserve">Bear Case / Key Risks</w:t>
      </w:r>
    </w:p>
    <w:p>
      <w:pPr>
        <w:pStyle w:val="ListParagraph"/>
        <w:numPr>
          <w:ilvl w:val="0"/>
          <w:numId w:val="1"/>
        </w:numPr>
        <w:spacing w:after="60"/>
      </w:pPr>
      <w:r>
        <w:t xml:space="preserve">5yr trailing sales CAGR of just 7.94% - one of the weaker growth profiles in this batch, and Q1FY27 US revenue was flat (ex-US +17% carried the quarter)</w:t>
      </w:r>
    </w:p>
    <w:p>
      <w:pPr>
        <w:pStyle w:val="ListParagraph"/>
        <w:numPr>
          <w:ilvl w:val="0"/>
          <w:numId w:val="1"/>
        </w:numPr>
        <w:spacing w:after="60"/>
      </w:pPr>
      <w:r>
        <w:t xml:space="preserve">Reported return-ratio data is inconsistent/anomalous across sources post-demerger, making the balance sheet harder to read cleanly right now</w:t>
      </w:r>
    </w:p>
    <w:p>
      <w:pPr>
        <w:pStyle w:val="ListParagraph"/>
        <w:numPr>
          <w:ilvl w:val="0"/>
          <w:numId w:val="1"/>
        </w:numPr>
        <w:spacing w:after="60"/>
      </w:pPr>
      <w:r>
        <w:t xml:space="preserve">The Biosecure Act - the single biggest structural catalyst repeatedly invoked for the broader Indian CDMO trade - is judged unlikely to pass per a credible community post, undermining part of the original demerger thesis</w:t>
      </w:r>
    </w:p>
    <w:p>
      <w:pPr>
        <w:pStyle w:val="ListParagraph"/>
        <w:numPr>
          <w:ilvl w:val="0"/>
          <w:numId w:val="1"/>
        </w:numPr>
        <w:spacing w:after="60"/>
      </w:pPr>
      <w:r>
        <w:t xml:space="preserve">Post-demerger valuation math was disputed even among engaged community members, with one member calling the price reaction 'a huge disconnect from reality'</w:t>
      </w:r>
    </w:p>
    <w:p>
      <w:pPr>
        <w:pStyle w:val="Heading1"/>
        <w:spacing w:after="120" w:before="280"/>
      </w:pPr>
      <w:r>
        <w:t xml:space="preserve">Market-Cap Tier (informational — not a gate in this project)</w:t>
      </w:r>
    </w:p>
    <w:p>
      <w:pPr>
        <w:spacing w:after="120"/>
      </w:pPr>
      <w:r>
        <w:rPr>
          <w:b/>
          <w:bCs/>
        </w:rPr>
        <w:t xml:space="preserve">Mid-cap (~Rs 9,090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Cheap on a post-demerger EBITA multiple, but weak trailing growth and a stalled Biosecure Act catalyst leave the core investment case unresolved</w:t>
      </w:r>
    </w:p>
    <w:p>
      <w:pPr>
        <w:pStyle w:val="ListParagraph"/>
        <w:numPr>
          <w:ilvl w:val="0"/>
          <w:numId w:val="1"/>
        </w:numPr>
        <w:spacing w:after="60"/>
      </w:pPr>
      <w:r>
        <w:t xml:space="preserve">The EBITA-multiple cheapness argument is real but relies on guidance holding, and trailing growth has been persistently weak</w:t>
      </w:r>
    </w:p>
    <w:p>
      <w:pPr>
        <w:pStyle w:val="ListParagraph"/>
        <w:numPr>
          <w:ilvl w:val="0"/>
          <w:numId w:val="1"/>
        </w:numPr>
        <w:spacing w:after="60"/>
      </w:pPr>
      <w:r>
        <w:t xml:space="preserve">The structural catalyst most bulls cite (Biosecure Act / China+1 CDMO shift) is judged unlikely by a credible community voice, which removes much of the re-rating case</w:t>
      </w:r>
    </w:p>
    <w:p>
      <w:pPr>
        <w:pStyle w:val="ListParagraph"/>
        <w:numPr>
          <w:ilvl w:val="0"/>
          <w:numId w:val="1"/>
        </w:numPr>
        <w:spacing w:after="60"/>
      </w:pPr>
      <w:r>
        <w:t xml:space="preserve">Not a red-flag situation, but not a clean, high-conviction growth story either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2026-08-23T15:39:06.902Z</dcterms:created>
  <dcterms:modified xsi:type="dcterms:W3CDTF">2026-08-23T15:39:06.904Z</dcterms:modified>
</cp:coreProperties>
</file>

<file path=docProps/custom.xml><?xml version="1.0" encoding="utf-8"?>
<Properties xmlns="http://schemas.openxmlformats.org/officeDocument/2006/custom-properties" xmlns:vt="http://schemas.openxmlformats.org/officeDocument/2006/docPropsVTypes"/>
</file>