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Stylam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laminates exporter now controlled by Japan's AICA Kogyo (40% promoter stake, deal closed June 2026); FY26 growth cooled to 10% but Q1 FY27 re-accelerated at record 21% margins as a delayed capacity-doubling plant nears start-up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High-pressure decorative laminates manufacturer operating Asia's largest laminate manufacturing plant, with roughly 64-72% of revenue historically from exports; expanding into acrylic solid-surface and MDF-board lamination adjacencies. Japan's AICA Kogyo became the largest shareholder / promoter with a 40% stake (closed June 2026) and has nominated 8 of the board's directors.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5,945 Cr (price ~Rs 3,508, near 52-wk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Rs 1,129 Cr (+10% YoY, down from ~17% CAGR); Q1 FY27 Rs 326 Cr (+15% YoY, +15% QoQ)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19.9%, ROCE 26.6%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</w:t>
            </w:r>
          </w:p>
        </w:tc>
        <w:tc>
          <w:tcPr>
            <w:tcW w:type="dxa" w:w="5800"/>
          </w:tcPr>
          <w:p>
            <w:r>
              <w:t xml:space="preserve">~13% (FY26 PAT Rs 150 Cr, +23% YoY); Q1 FY27 EBITDA margin &gt;21% (record)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(Rs 29 Cr borrowings Mar 2026); FY26 CFO Rs 177 Cr = ~104% of 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1,575 - 3,509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56.86% (Jun 2026), of which AICA Kogyo 40%; 0% pledged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CAGR of ~19% over 5 years with a debt-free balance sheet and ~20% ROE, but the deep dive shows FY26 growth decelerated sharply to 10% (Rs 1,129 Cr) before Q1 FY27 re-accelerated to +15% YoY on record &gt;21% EBITDA margins and +70% YoY PAT. Cash conversion is strong and improving (FY26 CFO Rs 177 Cr, ~104% of EBITDA, vs ~82-83% in FY24/FY25). The AICA Kogyo transaction - the core catalyst - is now closed: AICA holds 40% as promoter, has 8 board nominees, and an open offer at Rs 2,250 (well below CMP) completed in May 2026 with only ~2.75% tendered. The new Panchkula plant has slipped twice (June 2026 -&gt; Sept 1, 2026 commercial start), capex raised to Rs 200-225 Cr (extra line), funded internally; it is guided to add Rs 250-300 Cr revenue in year 1 at 25-30% utilisation. Domestic operations (the loss-making leg) are being restructured with a swing to profit expected from Q3 FY27.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+ FY24/FY25 comparatives via screener.in and press (revenue, PAT, net worth, borrowings, cash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earnings-call highlights (Jul 2026): revenue Rs 326 Cr, EBITDA &gt;21%, PAT Rs 48 Cr, plant/margin/domestic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Feb-Aug 2026: AICA open offer close, 40% stake completion, board reconstitution, AGM remuneration resolution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1,129 Cr, up only ~10% YoY (FY25 Rs 1,025 Cr, FY24 Rs 914 Cr, FY23 Rs 952 Cr) - materially slower than the ~17-19% CAGR in the prior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Rs 150 Cr (+23% YoY), EPS ~Rs 88; net worth Rs 807 Cr (+22.75%); borrowings cut to ~Rs 29 Cr - effectively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Rs 177 Cr = ~104% of EBITDA, up from ~82-83% conversion in FY24 and FY25 - working capital discipline improved, growth is cash-backed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26.6%, ROE 19.9% - sustained high-teens/20s returns with no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for the new Panchkula plant raised to Rs 200-225 Cr (additional line installed), self-funded from internal accruals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revenue: Jun'25 283 / Sep'25 292 / Dec'25 271 / Mar'26 283 / Jun'26 326 Cr - flat through FY26, then a clear step-up in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+15.4% YoY and +15% QoQ; EBITDA margin &gt;21% (record, management calls it operational efficiency not inventory gains); PAT Rs 48 Cr, +70%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sustainable EBITDA margin 19-20% even as the new capex adds depreciation; Q1 already above that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business still loss-making; restructuring (team, distributors, warehousing) underway, swing to profit expected from Q3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AICA Kogyo open offer (26% at Rs 2,250) closed May 2026 - only ~2.75% tendered; AICA then lifted holding to 40% via off-market blocks on 17 June 2026 and is classified as promoter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reconstituted 17 June 2026 with 8 AICA-nominated directors on 5-year terms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28 Aug 2026: resolutions for revised managerial remuneration following the AICA partnership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Panchkula plant commercial production pushed from June 2026 to 1 September 2026 (internal + weather delays); year-1 revenue guided Rs 250-300 Cr at 25-30% utilisation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AICA Kogyo deal is CLOSED (40% promoter stake, board control) - the catalyst is now a fact, not a pending event; open offer price Rs 2,250 is far below CMP so no minority takeout premium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organic growth was only ~10%, well below the narrative - the thesis now rests on the Q1 FY27 re-acceleration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plant delayed a second time to Sept 2026 and capex raised; earnings contribution is back-ended to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cash conversion actually strong (~104% of EBITDA) - quality of earnings confirmed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Q1 FY27 +15% revenue / 21% margin step-up sustainable, or partly a one-quarter phasing/price effect?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concrete commercial synergies (products, tech, export channels) will AICA bring, and on what timeline - nothing quantified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will AICA-controlled board handle capital allocation, dividends and related-party purchases from the parent?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the Panchkula plant actually start on 1 Sept 2026 after two slips, and how fast does utilisation ramp?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Medium-High. The filings confirm a high-quality, cash-backed, debt-free compounder and de-risk the AICA catalyst (deal closed), but they also reveal FY26 growth decelerated to 10%, the capacity catalyst has slipped twice and is back-ended, and the stock is at its 52-week high on ~35x earnings with the open offer well below CMP - the re-rating has largely happened, so top conviction is no longer warranted.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Panchkula laminate plant to start commercial production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 start 1 Sep 2026; Rs 250-300 Cr year-1 revenue at 25-30% utilisation; capex Rs 200-225 Cr self-funded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AICA Kogyo partnership to add technology, products and global distribution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AICA 40% promoter stake, 8 board nominees, SHA dated 26 Dec 2025 - synergies not yet quantified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EBITDA margin at 19-20% through the new-capex phase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already printed &gt;21%; guidance 19-20% steady-state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 the domestic segment from loss-making to profitable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 changes, new distributors, warehouse expansion; benefit from 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Panchkula plant commissioning (Sep 2026)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capacity utilisation ramp (25-30% year 1)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incremental revenue Rs 250-300 Cr FY27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export + domestic volume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~19-21%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utilisation ramp (25-30% year 1).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 FY27 EBITDA margin &gt;21% vs 19-20% guided; management expects to hold margins even as new capex adds depreciation, implying EBITDA can grow at least in line with revenue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export + domestic volume growth; EBITDA margin ~19-21%. Still assumed: new Panchkula plant commissioning (Sep 2026); capacity utilisation ramp (25-30% year 1); incremental revenue Rs 250-300 Cr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3508 · 35x P/E · 24x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~35x trailing P/E on a debt-free ~20% ROE compounder implies roughly 18-22% EPS CAGR FY26-FY28 against a ~22-25x normal exit multiple - the market is pricing the new-plant ramp and a margin hold, but not a step-change or large AICA synergy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+15-20% (Q1 +15%, new plant only a partial year), EBITDA margin ~20-21%, PAT +25-35% off the low FY26 base plus the margin step-up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as Panchkula utilisation rises past 30% and domestic swings to profit - revenue toward Rs 1,600-1,800 Cr, PAT ~Rs 230-260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10%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new Panchkula capacity (Rs 250-300 Cr year-1, more as utilisation scales) and record ~21% margins are only partly in a 35x multiple that already sits at a 52-week high; AICA commercial synergies are unpriced optionality with no numbers yet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Panchkula plant commercial start (Sep 2026) plus Q2/Q3 FY27 prints showing new-capacity revenue, sustained ~20% margins, and the domestic segment swinging to profit from Q3 FY27</w:t>
      </w:r>
      <w:r>
        <w:rPr>
          <w:color w:val="666666"/>
          <w:sz w:val="18"/>
          <w:szCs w:val="18"/>
        </w:rPr>
        <w:t xml:space="preserve"> (window ~9M from 2026-08-30; dated; evidence med; pending)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trades near its 52-week high (~Rs 3,508 vs high Rs 3,509) after a ~2.2x re-rating over the year, so the AICA catalyst and margin step-up are substantially in the price.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130 posts (Dec 2021 to June 2026), spanning years of consistent 15-30%+ quarterly growth through the laminate cycle, a promoter-family-dispute disclosure, and the AICA Kogyo transaction. Deep dive (pass 1) cross-checked against FY26 audited results, the Q1 FY27 concall, and BSE/NSE filings through Aug 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and ranvir (both trusted) provided detailed multi-year concall coverage showing consistent 15-30%+ revenue growth, with management repeatedly raising long-term capacity/revenue targets (Rs 1,000 Cr -&gt; Rs 1,500 Cr -&gt; Rs 1,800-2,000 Cr). Most significant: Dec 2025/Mar 2026 posts confirm Japan's AICA Kogyo is acquiring a controlling stake, alongside resolution of a multi-year promoter-family dispute (nephew Manav Gupta's exit) that had specifically bottlenecked the domestic business. Deep dive confirms the deal closed (40% AICA promoter stake, June 2026) - the governance overhang is resolved, but the open offer priced at Rs 2,250 is far below the market price, so there is no takeout premium for minority holders.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Board reconstituted 17 June 2026: 8 new AICA-nominated directors on 5-year terms. AGM 28 Aug 2026 sought approval for revised managerial remuneration post-partnership. Open offer (26% sought at Rs 2,250) closed May 2026 with only ~4.66 lakh shares (~2.75%) tendered; AICA topped up to 40% via off-market blocks on 17 June 2026. No adverse rating action, litigation or auditor issue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~19% 5-yr revenue CAGR, ROE ~20%, ROCE 26.6%, essentially debt-free, and FY26 cash conversion of ~104% of EBITDA - a genuinely high-quality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inflection: revenue +15% YoY, EBITDA margin a record &gt;21% (vs 19-20% guided), PAT +70% YoY - growth and margins both re-accelerating after a flat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AICA Kogyo (Japanese laminates major) control is now closed and de-risked - promoter overhang and the multi-year family dispute are both resolved, with potential access to AICA technology, products and global distribution as unpriced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Panchkula plant (commercial start Sept 2026, Rs 200-225 Cr capex, self-funded) adds Rs 250-300 Cr of revenue in year 1 (~22-27% of FY26 sales) with room to scale as utilisation rises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grew only 10% (Rs 1,129 Cr) - a sharp deceleration from the ~17-19% CAGR narrative; the Q1 FY27 re-acceleration is one quarter old and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at its 52-week high after a ~2.2x re-rating on ~35x trailing P/E and ~7.4x P/B - the AICA catalyst and margin step-up are largely priced in; the Rs 2,250 open offer sits far below CMP, so no downside cushion from a takeout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plant has slipped twice (June -&gt; Sept 2026) and capex was raised mid-project; year-1 utilisation is only 25-30%, so the earnings contribution is back-ended into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segment is still loss-making; the turnaround is an in-progress restructuring, not a delivered result, with benefits only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AICA now controls the board and is seeking revised managerial remuneration - minority holders are a passenger to a foreign strategic promoter's capital-allocation and related-party decisions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5,945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debt-free compounder with a now-closed strategic-investor catalyst and a fresh Q1 FY27 inflection - but full valuation at the highs caps it below top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dive confirms the fundamentals (cash-backed FY26, record Q1 FY27 margins, pristine balance sheet) and de-risks the catalyst (AICA deal closed, governance overhang gone)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FY26 growth decelerated to 10%, the capacity catalyst has slipped twice and is back-ended, and the stock sits at its 52-week high on ~35x earnings - the easy part of the re-rating is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literal 10x in 2-3 years from a Rs 5,945 Cr base is a stretch; this is better read as a Medium-High-conviction quality compounder with a real but partly-priced capacity + AICA optionality kicker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2026-08-30T12:37:46.792Z</dcterms:created>
  <dcterms:modified xsi:type="dcterms:W3CDTF">2026-08-30T12:37:46.797Z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