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Sula Vineyards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wine maker, but growth and working-capital trends are both moving the wrong way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Sula Vineyards is India's largest wine producer and retailer, with owned vineyards, contract winemaking, and a wine-tourism business (resorts/tasting rooms) in Nashik. It listed in Dec 2022.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1,220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(3yr avg)</w:t>
            </w:r>
          </w:p>
        </w:tc>
        <w:tc>
          <w:tcPr>
            <w:tcW w:type="dxa" w:w="5800"/>
          </w:tcPr>
          <w:p>
            <w:r>
              <w:t xml:space="preserve">11.2% (low)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(5yr)</w:t>
            </w:r>
          </w:p>
        </w:tc>
        <w:tc>
          <w:tcPr>
            <w:tcW w:type="dxa" w:w="5800"/>
          </w:tcPr>
          <w:p>
            <w:r>
              <w:t xml:space="preserve">7.57% (poor)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Debtor days 156, WC days up from 67.9 to 101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138.60 - 296.80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Both the trailing multi-year average and the recent trend point the same direction: sales growth has been poor (7.57% 5yr CAGR), ROE is low for a branded-consumer business (11.2% 3yr avg), and working capital is deteriorating rather than improving — debtor days at 156 and total WC days up from ~68 to ~101. No red flag (no going-concern, promoter-pledge, or SEBI-action signal found), but no evidence of a recent-quarter inflection or specific catalyst either, which is what the project's inflection rule requires before overriding a weak trailing average.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— filtered out before the technical/community-signal stage.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read this pass — filtered out at the fundamentals stage per project rules (no red flag, but both trailing and recent trend weak with no identified catalyst).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largest wine producer with a recognizable owned-brand portfolio and a growing wine-tourism/hospitality revenue stream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First-mover scale advantage in a category (Indian wine) that remains under-penetrated versus other alcobev categories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revenue CAGR of just 7.57%, below what a 10x/100x thesis requires even before considering margin trends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 deteriorating (debtor days 156, WC days 67.9→101), a sign of weakening execution rather than improvement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3-year average ROE of 11.2% is low for a consumer-branded business, without demonstrated pricing power to re-rate it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1,220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Weak trailing and weak recent fundamentals, no catalyst identified — filtered out before the forum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present, but both the multi-year average and the most recent working-capital/growth data point in the same (weak) direction, which is exactly the case the project's screening rules say should be filtered out rather than escalated to a full community-signal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near-term catalyst (capacity, new product line, regulatory tailwind) was found in the fundamentals pass that would justify treating this as an unconfirmed inflection instead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2026-08-26T17:12:17.808Z</dcterms:created>
  <dcterms:modified xsi:type="dcterms:W3CDTF">2026-08-26T17:12:17.813Z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