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Sumeet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Post-insolvency polyester-yarn maker under new (Eagle Group) ownership -- an early, small earnings turn, but a commodity business, an unproven listed-market management and a rights issue the forum reads as promoter-serving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Sumeet Industries is a Surat-based integrated manufacturer/exporter of polyester yarn (POY, FDY), polyester chips and texturised/carpet yarn. It went through NCLT insolvency (CIRP admitted Dec 2022) and was acquired by the Eagle Group under a resolution plan approved Jul 2024 (~Rs 205 Cr infused). It is now doing a ~Rs 200 Cr rights issue for debt optimisation and growth/renewable-energy capex.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1,500 Cr on a large post-CIRP share count (free-float market cap is far smaller and has misled some investors)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 -2% trailing -- still below cost of capital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Q4 FY26 total income ~Rs 267 Cr (+9.5% YoY); EBITDA ~Rs 14.7 Cr (+113% YoY); PAT ~Rs 7.5 Cr (positive)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~7% -- poor, and off a distressed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action</w:t>
            </w:r>
          </w:p>
        </w:tc>
        <w:tc>
          <w:tcPr>
            <w:tcW w:type="dxa" w:w="5800"/>
          </w:tcPr>
          <w:p>
            <w:r>
              <w:t xml:space="preserve">~Rs 200 Cr rights issue at ~Rs 12; promoters renouncing entitlements to stay &lt;=75% (not participating)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10.66 - Rs 40.50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Polyester yarn/chips is a brutally cyclical, low-return commodity (the thread's own 2010-2017 history shows repeated 8-9% ROCE and boom-bust). Trailing ROCE is still negative. The recent quarter does show a real improvement -- EBITDA up ~113% YoY and PAT positive -- but the absolute numbers are tiny (~Rs 7.5 Cr PAT) and off a post-insolvency trough. The rights issue amount closely matches what the new promoters put in, and multiple forum members read the structure (renounced entitlements sold privately at a premium) as the promoters recovering their outlay while keeping ~75% of the company.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price collapsed from the low-40s to single digits around the rights record date; forum members expect it to settle near or below the ~Rs 12 rights price.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(25 fetched of 27 posts); substantive discussion is a 2010-2017 block plus a June-August 2026 special-situation block. Charanjeev_Kohli (not on the roster) drove the recent discussion: the rights issue is a 'pure trade play', the promoters are renouncing ~Rs 15 Cr+ of entitlements to private buyers to get ~Rs 150 Cr back out of ~Rs 205-225 Cr invested, and 'management doesn't have prior history in the listed space'. vineetreynolds notes the earlier run-up was partly an optical illusion from a tiny reported free-float market cap on a ~Rs 1,000 Cr-revenue company. Older posts record a 2014 SEBI order (Rs 17.92 Cr penalty) against the company and its then-directors for price/volume manipulation. Net sentiment: cautious-to-negative, trade-only.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roster user has expressed conviction. The most engaged non-roster voice explicitly calls it a trade, not an investment, and questions management trustworthiness.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2014 SEBI order imposing a ~Rs 17.92 Cr penalty on Sumeet Industries and directors for acting in concert to manipulate the scrip (former promoters; pre-CIRP). Company completed CIRP; new promoters (Eagle Group) approved Jul 2024. Ongoing ~Rs 200 Cr rights issue with promoters not subscribing.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post-insolvency reset: clean(er) balance sheet, new owner (Eagle Group) with ~Rs 205 Cr of skin in, and a fresh ~Rs 200 Cr rights issue for growth/renewables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 shows an operating inflection -- EBITDA +113% YoY, back to a reported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Surat asset base with export presence; optionality if the new team executes a real capacity/margin expansion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Polyester yarn/chips is a low-ROCE commodity; trailing ROCE is still negative and the sector is chronically cyclical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promoters have no listed-market track record; forum reads the rights structure as recovering their cost while keeping ~75%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earlier price run-up was partly an artefact of a tiny reported free-float market cap; several members expect the price to settle near/below the ~Rs 12 rights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2014 SEBI manipulation order on the company; the recent earnings improvement is tiny in absolute terms and off a trough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1,500 Cr headline; much smaller on free float)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 early, tiny earnings turn cannot lift a negative-ROCE commodity business run by an unproven listed-market promoter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the quality gate fails outright (trailing ROCE negative, commodity end-product), and the recent improvement -- while real -- is small in absolute terms and off a distressed base, so the recent-inflection allowance does not carry it to a 10x frame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Governance/structure concerns are material: promoters not participating in the rights issue and reportedly monetising renounced entitlements, no listed-market history, and a legacy SEBI manipulation order on the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pass; no formal red-flag tier (out of CIRP, currently profitable, promoter stake reduction is SEBI-mandated rather than a distress collapse), but treat with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No revisit on a 30-day cycle. Re-check only if the new management delivers 3-4 quarters of sustained, materially larger EBITDA and a credible capacity-led growth plan post rights issue.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2026-08-29T14:32:57.320Z</dcterms:created>
  <dcterms:modified xsi:type="dcterms:W3CDTF">2026-08-29T14:32:57.321Z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