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Sunteck Realty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Mumbai-MMR developer on an asset-light JDA model with pre-sales compounding ~30% and net-debt-free — cheaper than MMR peers, but chronic ~5-6% ROCE, collections that lag pre-sales for years, and ~Rs 18k Cr of the GDV in doubt (Kalyan + Dubai)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MMR-focused residential developer (Bandra-to-Virar western suburbs) doing large-format, township-style projects mostly via joint development agreements (little upfront land cash). Building a small commercial rental portfolio at BKC/ODC. Total GDV ~Rs 40,000-42,000 Cr; ~50 mn sq ft balance pipeline; one Dubai Downtown project.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4,400 Cr (52w ~Rs 271 - 473; near the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pre-sales</w:t>
            </w:r>
          </w:p>
        </w:tc>
        <w:tc>
          <w:tcPr>
            <w:tcW w:type="dxa" w:w="5800"/>
          </w:tcPr>
          <w:p>
            <w:r>
              <w:t xml:space="preserve">~Rs 3,315 Cr (+31% YoY); guidance was ~Rs 3,000 Cr — met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Collections</w:t>
            </w:r>
          </w:p>
        </w:tc>
        <w:tc>
          <w:tcPr>
            <w:tcW w:type="dxa" w:w="5800"/>
          </w:tcPr>
          <w:p>
            <w:r>
              <w:t xml:space="preserve">~Rs 1,255 Cr FY26 (grew ~24% in Q2 FY26 after years of lag)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margin</w:t>
            </w:r>
          </w:p>
        </w:tc>
        <w:tc>
          <w:tcPr>
            <w:tcW w:type="dxa" w:w="5800"/>
          </w:tcPr>
          <w:p>
            <w:r>
              <w:t xml:space="preserve">~Rs 990 Cr; OPM ~28%; Q1 FY27 EBITDA margin ~35%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 / ROCE</w:t>
            </w:r>
          </w:p>
        </w:tc>
        <w:tc>
          <w:tcPr>
            <w:tcW w:type="dxa" w:w="5800"/>
          </w:tcPr>
          <w:p>
            <w:r>
              <w:t xml:space="preserve">~4.4% / ~6%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Net-debt-free; D/E ~0.12; rating IND AA/Stable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Pre-sales history</w:t>
            </w:r>
          </w:p>
        </w:tc>
        <w:tc>
          <w:tcPr>
            <w:tcW w:type="dxa" w:w="5800"/>
          </w:tcPr>
          <w:p>
            <w:r>
              <w:t xml:space="preserve">FY21 Rs 1,022 Cr -&gt; FY26 Rs 3,315 Cr (~26% CAGR); collections roughly flat FY23-FY25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Pre-sales have compounded ~26% for five years, the balance sheet is net-debt-free, and the stock trades cheaper than Lodha/Oberoi/Godrej Properties on most measures. But reported returns are chronically low (3-yr ROE ~4.4%, ROCE ~6%) because collections have lagged pre-sales since FY24 — a multi-year working-capital drag that the market has refused to 'trust' despite 6+ quarters of PAT growth. On top of that, an elevated user estimates ~Rs 18,000 Cr of the ~Rs 42,000 Cr GDV is in doubt: the Kalyan project (weak location, no infra push, hard to sell) and the Dubai project (launch on hold on Middle-East geopolitics). Management guides pre-sales +25-35% and GDV to double every ~3 years.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Mumbai / MMR residential real estate up-cycle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MMR western-suburbs developer, large-format township projects, mostly JDA / asset-light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approvals + saleable-inventory launch cadence in prime MMR micro-markets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Lodha (Macrotech), Oberoi Realty, Godrej Properties, Keystone Realtors (Rustomjee)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Listed MMR developers are all launching aggressively into the up-cycle (supply 'adding' = later-cycle glut risk); Sunteck's edge is a low-capital JDA model and a discounted valuation, not a pricing-power moat.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Actively followed; elevated user Vineetjain111 tracks it and expects the P&amp;L to keep improving as projects complete; another elevated user (vikasbargale) took an initial position in Jan 2025. But the recurring debate is why the stock lags peers — low ROCE, collections lag, and the GDV-quality question. Mohnish Pabrai fully exited in 2024 (stated reason: leaving India, not a Sunteck-specific view).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high-conviction trusted 'buy' call; a short bull thesis (gnarasg, Oct 2024, well-received) and tracking positions from a couple of elevated users. Discovery candidate, theme-rank 2 (no live-theme keyword match).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Pre-sales compounding ~26%/yr; net-debt-free; asset-light JDA model limits capital at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a discount to MMR peers; large ~50 mn sq ft launch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 finally catching up; Pabrai overhang cleared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Chronic ~5-6% ROCE / ~4% ROE — weak value creation despite pre-sales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 lagged pre-sales for years (working-capital drag); market won't re-rate until it sticks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18k Cr of GDV in question (Kalyan location, Dubai on hold)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estate is cyclical, not a structural tailwind; no 10x/100x maths from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(cyclical MMR up-cycle); tam weak (low ROCE + ~Rs 18k Cr GDV in doubt cap value creation); moat weak (western-suburbs brand + JDA model); valuation yes (discount to MMR peers, net-debt-free, near 52w low). Score 2.5, valuation exception available but return magnitude is ~2-3x not 10x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net-debt-free MMR developer with compounding pre-sales but structurally low returns and GDV-quality doubts — 'neither',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2 (no live-theme keyword match — recency discovery).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weak — MMR residential up-cycle is cyclical, not structural; tam weak — ~Rs 4,400 Cr mcap, ~Rs 42k Cr GDV but ~Rs 18k Cr in doubt and chronic low ROCE caps value creation; moat weak — western-suburbs brand + asset-light JDA model; valuation yes — clear discount to MMR peers, net-debt-free, near 52w low). Valuation box is 'yes', so a return-magnitude label is technically permitted (exception) — but the honest return maths for a ~5-6% ROCE cyclical developer is ~2-3x on a cycle turn + re-rating, nowhere near 10x-in-2-3-years or 100x-in-10-years,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real-estate revenue-recognition lumpiness explains the low reported ROE but the through-cycle return profile is genuinely modest.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a credible, cheap cyclical turnaround with a clean balance sheet, held back by low returns, the collections lag and GDV-quality questions; a couple of elevated users hold tracking positions but there is no high-conviction trusted call.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2026-09-04T03:01:06.224Z</dcterms:created>
  <dcterms:modified xsi:type="dcterms:W3CDTF">2026-09-04T03:01:06.225Z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