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Technocraft Industries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Diversified niche industrial manufacturer with a real US-tariff cost advantage over Chinese peers and a meaningful capacity-driven revenue catalyst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Technocraft Industries is a market leader in patented drum closures, India's fastest-growing scaffolding player, an engineering &amp; design-services provider (700-engineer platform, 75% US revenue, Fortune-500 clientele), plus a smaller, loss-making textiles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7,525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24.68% (trailing); ROCE 22.30%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~13.6% average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quarter/catalyst</w:t>
            </w:r>
          </w:p>
        </w:tc>
        <w:tc>
          <w:tcPr>
            <w:tcW w:type="dxa" w:w="5800"/>
          </w:tcPr>
          <w:p>
            <w:r>
              <w:t xml:space="preserve">Two new Aurangabad plants (extrusion + formwork) and the Amravati spinning mill ramping to full utilisation by H2 FY26, adding an estimated ~Rs 700 Cr of incremental revenue potential (~9% of current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Stock at/near 52-week highs (Rs 2,848.90 - 3,020.00 recent trading range)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0.41 (conservative)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quality metrics (ROE/ROCE both above 20%, conservative leverage) with two credible, quantified near-term catalysts: capacity ramp-up adding a meaningful ~9% of incremental revenue, and a structural US-tariff cost advantage (25% duty on Indian steel scaffolding vs ~70% on Chinese peers) preserving pricing and volumes in the export engineering business.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82 available posts (2016-Jun 2025, thread has been quiet for over a year). Sentiment has been steadily constructive throughout, with a VP-trusted user (ranvir) posting detailed segment-level concall tracking in 2024, and the thread's final post (Jun 2025) laying out a clear, catalyst-driven growth thesis.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(elevated-tier) posted detailed FY24 and Q1 FY25 segment-level concall breakdowns (drum closures, scaffolding/formwork, textiles, engineering &amp; design), tracking margin trends across each business line without raising any red flags. DeveshKedia (non-trusted, the thread's most recent post, Jun 2025) laid out the clearest recent bull case: capacity ramp-up worth ~Rs 700 Cr of incremental revenue potential, and a structural US-tariff cost advantage versus Chinese scaffolding competitors.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2024-09-02 — ranvir</w:t>
      </w:r>
      <w:r>
        <w:rPr>
          <w:i/>
          <w:iCs/>
          <w:color w:val="666666"/>
          <w:sz w:val="18"/>
          <w:szCs w:val="18"/>
        </w:rPr>
        <w:t xml:space="preserve"> (Technocraft Industries)</w:t>
      </w:r>
      <w:r>
        <w:rPr>
          <w:sz w:val="20"/>
          <w:szCs w:val="20"/>
        </w:rPr>
        <w:br/>
        <w:t xml:space="preserve">: Q1 FY25 concall notes: revenue +11% YoY; drum closures segment EBIT +38% YoY; scaffolding/formwork EBIT -31% YoY on margin pressure, with management expecting improved performance ahead; no red flags raised.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real quality metrics: ROE 24.68%, ROCE 22.30%, conservative debt (D/E 0.41), corroborated by detailed VP-trusted concall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Quantified, near-term capacity catalyst: two new Aurangabad plants plus the Amravati spinning mill ramping to full utilisation, adding an estimated ~9% of incremental revenue on the current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competitive moat from US tariffs (25% on Indian steel scaffolding vs ~70% on Chinese peers), preserving pricing and volume 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business mix (drum closures market leadership, fast-growing scaffolding, sticky Fortune-500 engineering-services clientele) reduces single-segment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Textiles segment remains structurally loss-making (negative EBIT margin), a persistent drag on consolidated profitability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has gone quiet for over a year (last post Jun 2025) despite the stock trading near 52-week highs, suggesting reduced fresh community scrutiny at current levels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Scaffolding/formwork segment saw a real margin decline in one recent quarter (EBIT -31% YoY) that management attributed to a temporary reversal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7,525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Diversified, well-run industrial niche player with a real capacity catalyst and a structural tariff-driven cost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fundamentals (ROE/ROCE both above 20%, conservative leverage) corroborated by detailed VP-trusted concall tracking with no red flags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capacity-ramp catalyst is specific and quantified (~Rs 700 Cr incremental revenue potential), and the US-tariff cost advantage over Chinese peers is a real, structural (not speculative)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Low-Medium rather than higher given the year-long lull in fresh community engagement and the persistent drag from the loss-making textiles segment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2026-08-24T17:47:44.656Z</dcterms:created>
  <dcterms:modified xsi:type="dcterms:W3CDTF">2026-08-24T17:47:44.656Z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