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Ujjivan Small Finance Bank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SFB posting a sharp post-microfinance-stress turnaround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Ujjivan Small Finance Bank serves mass-market and MSME customers with a microfinance-heritage lending book that has diversified into secured retail and MSME loans. The stock is recovering from a broader small-finance-bank/microfinance asset-quality stress cycle.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14,016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7,338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14.35%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0.47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OPM</w:t>
            </w:r>
          </w:p>
        </w:tc>
        <w:tc>
          <w:tcPr>
            <w:tcW w:type="dxa" w:w="5800"/>
          </w:tcPr>
          <w:p>
            <w:r>
              <w:t xml:space="preserve">11.50%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(forecast)</w:t>
            </w:r>
          </w:p>
        </w:tc>
        <w:tc>
          <w:tcPr>
            <w:tcW w:type="dxa" w:w="5800"/>
          </w:tcPr>
          <w:p>
            <w:r>
              <w:t xml:space="preserve">23.7% p.a.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41.32 - Rs 72.24 (near recent high, +64.2% in 1 year)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ROE/ROCE in the mid-teens with sub-1x leverage is healthy for a small finance bank. Screener flags a low interest-coverage ratio, which is structurally normal for a deposit-funded bank rather than a solvency concern. No dividend paid, consistent with a bank still reinvesting through a recovery phase.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is near its 52-week high after a strong one-year run (+64.2%), a clear uptrend as the market re-rates the post-stress recovery.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(891 posts, latest activity 2026-07-23). Latest post reports a record Q1 FY27: NII +38.6% YoY, PAT +207% YoY, improving asset quality, and management guidance of 25% advances growth with RoA of 1.8-2.0% for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karanshah137 (2026-07-23, 3 loves) posted the record Q1FY27 result summary with specific guidance figures — a reasoned, data-backed positive signal, though posts_seen=1 for this user so not yet logged as a verified repeat-conviction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Promoter-holding trend not found in this pass — flag for a deeper look on a future revisit rather than assume.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Sharp turnaround underway: PAT +207% YoY, NII +38.6% YoY, asset quality improving off a stressed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market cap (Rs 14,016 Cr) leaves real re-rating room if the 25% advances-growth / 1.8-2.0% RoA guidance is delivered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already confirming the turnaround technically (near 52-week high, +64% over 1 year)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finance banks / microfinance-heritage lenders are inherently higher-risk, cyclical books — the current recovery could stall if asset quality re-deteriorates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true 10x from a Rs 14,000 Cr base in 2-3 years would require sustained best-in-class execution, not just one strong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and thin historical track record through a full credit cycle yet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14,000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 confirmed yet, but the closest of this batch to a real thesis — a strong, fresh turnaround (PAT +207% YoY) worth tracking for 2-3 more quarters before calling it a 10x setup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turnaround story worth monitoring, not yet a confirmed 10x setup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Q1FY27 results (PAT +207% YoY) with explicit forward guidance are a strong positive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market cap gives real room to re-rate if guidance is met over the next several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Needs a longer track record post-microfinance-stress before treating this as a high-conviction thesis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2026-08-21T16:36:30.005Z</dcterms:created>
  <dcterms:modified xsi:type="dcterms:W3CDTF">2026-08-21T16:36:30.009Z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