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Ultramarine &amp; Pigments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pigments/surfactants maker with a multi-year, trusted-tracked capex-driven capacity ramp and a real recent growth acceleration -- facing new competitive risk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Ultramarine &amp; Pigments manufactures ultramarine blue/violet pigments and surfactants, with an ongoing multi-year capex program (pigments capacity raised toward 7,200 MT, surfactant subsidiary expansions) and a minor wind-power side business.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1,224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10.1% / 7.64%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15.0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23.91% (1yr) vs 9.85% (3yr) vs 16.28% (5yr)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364 - 509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ROCE/ROE are below this project's usual quality bar, but the 1yr revenue growth (23.91%) is a real acceleration versus the 3yr (9.85%) trend -- consistent with the capacity expansion the community has tracked coming online.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20 of 176 posts (single batch, spanning May 2023-Nov 2025, no escalation needed). harsh.beria93 (trusted) has tracked the company's capex program in detail across two updates (Jul 2023, Jun 2025), most recently confirming a pigments capacity increase from 6,000 to 7,200 MT (85% utilization) as of the FY25 update. A 2024 dip in EPS drew mixed reaction -- one poster called it a buying opportunity given continued capacity expansion, another attributed it mainly to cost inflation, not demand weakness. A real competitive risk emerged Oct 2024: Sudarshan Chemicals' acquisition of Heubach was flagged as likely to increase pigments competition as Sudarshan fills capacity to drive operating leverage.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harsh.beria93 (trusted, elevated) is the thread's most consistent tracker, with detailed capex-timeline updates in Jul 2023 and Jun 2025 (8 loves) confirming the capacity-expansion thesis is on track as of the most recent update.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2023-07-06 — harsh.beria93</w:t>
      </w:r>
      <w:r>
        <w:rPr>
          <w:i/>
          <w:iCs/>
          <w:color w:val="666666"/>
          <w:sz w:val="18"/>
          <w:szCs w:val="18"/>
        </w:rPr>
        <w:t xml:space="preserve"> (Ultramarine &amp; Pigments)</w:t>
      </w:r>
      <w:r>
        <w:rPr>
          <w:sz w:val="20"/>
          <w:szCs w:val="20"/>
        </w:rPr>
        <w:br/>
        <w:t xml:space="preserve">: Summarized the company's ramped-up capex spend across multiple years -- the original basis for the capacity-expansion thesis.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2025-06-29 — harsh.beria93</w:t>
      </w:r>
      <w:r>
        <w:rPr>
          <w:i/>
          <w:iCs/>
          <w:color w:val="666666"/>
          <w:sz w:val="18"/>
          <w:szCs w:val="18"/>
        </w:rPr>
        <w:t xml:space="preserve"> (Ultramarine &amp; Pigments)</w:t>
      </w:r>
      <w:r>
        <w:rPr>
          <w:sz w:val="20"/>
          <w:szCs w:val="20"/>
        </w:rPr>
        <w:br/>
        <w:t xml:space="preserve">: Updated FY25 capex: pigments capacity raised from 6,000 to 7,200 MT (Q2FY25 announcement), operating at 85% utilization.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1yr revenue acceleration (23.91%) versus a much slower 3yr trend (9.85%), consistent with newly commissioned pigments/surfactant capacity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Multi-year, trusted, detailed tracking of the capex program (harsh.beria93, 2023-2025) confirms the capacity ramp is real and on schedule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85% utilization on newly expanded capacity as of the most recent update suggests further headroom before the next capex round is needed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into food/cosmetics/personal-care ingredient capex, broadening the growth base beyond core pigments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(10.1%) and ROE (7.64%) are both below this project's usual quality threshold -- growth is accelerating but profitability quality is not yet strong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Sudarshan Chemicals' 2024 acquisition of Heubach is a specific, credible new competitive threat to Ultramarine's core pigments business as Sudarshan seeks to fill capacity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historically has weak investor-relations engagement (a 2023 poster reported the company does not take investor queries)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2024 EPS dip drew genuine disagreement among posters on whether it was cost-driven (transient) or demand-driven (structural) -- unresolved in the thread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1,224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real, trusted-confirmed capacity-driven growth acceleration, but weak profitability quality and a new competitive threat keep this Low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1yr revenue acceleration is corroborated by a trusted, multi-year tracker's capex-timeline updates, which is exactly the kind of recent-inflection evidence this project weights -- but ROCE/ROE remain below the quality bar and the Sudarshan/Heubach competitive threat is new and unresolved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2026-08-23T15:14:48.508Z</dcterms:created>
  <dcterms:modified xsi:type="dcterms:W3CDTF">2026-08-23T15:14:48.510Z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