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United Drilling Tools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oilfield-tooling maker (casing connectors, downhole tools, gas-lift equipment) with a ~1.3-yr order backlog and improving margins — but low ROE, a small niche, and only a documented 'study', not a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large-OD multi-start casing connectors and casing pipes, wireline winches, artificial gas-lift equipment, downhole tools and high-performance connectors for the oil, gas and drilling industries; some export traction.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182 Cr (+5.7%) / Rs 18.8 Cr (+25.7%)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~17-18.5%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~5.8% / ~7.8% (3-yr ROE ~5.5%)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~0.1, almost debt-free; ~24% dividend payout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PAT ~Rs 4.2-4.3 Cr (+42-46% YoY); total income ~Rs 34.6 Cr (+7%)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backlog</w:t>
            </w:r>
          </w:p>
        </w:tc>
        <w:tc>
          <w:tcPr>
            <w:tcW w:type="dxa" w:w="5800"/>
          </w:tcPr>
          <w:p>
            <w:r>
              <w:t xml:space="preserve">~Rs 244 Cr (~5.3 quarters of revenue coverage)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Profit is growing faster than revenue (PAT +26% FY26, +42-46% in Q1 FY27) on margin/mix, and the ~Rs 244 Cr backlog gives a little over a year of revenue visibility; the balance sheet is clean and it pays a dividend. But returns are low (5-8% ROE/ROCE), revenue growth is mid-single-digit, the addressable niche is small (Indian upstream capex is roughly flat), and new orders disclosed are tiny (Rs 0.5 Cr gas-lift mandrels, Rs 3 Cr Nigeria export). At ~24x earnings for a low-ROE, slow-growth business it is not cheap.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resolved. External coverage is mixed (a 'Hold', a 'Sell' on valuation, plus routine result notes).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Source is @a_basumallick's weekly 'STOCK STORY' write-up (intelsense), re-shared 2026-09-03 with an explicit NOT-A-RECOMMENDATION disclaimer — a documented study,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Backlog covers ~1.3 years of revenue; PAT growing on margin/mix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dividend-paying, some export 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— optionality if oilfield-services capex or exports scale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ROE/ROCE (~6-8%); mid-single-digit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cyclical niche; Indian upstream capex roughly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~24x earnings — not cheap for the quality/growth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Reaches the screen as a documented 'study', explicitly not a recommendation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460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(modest cyclical oilfield capex); tam weak (small niche, flat Indian upstream capex); moat weak (niche tooling with API certs); valuation weak (~24x for ~6% ROE / ~6% growth). Score 2.0, no exception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Clean, dividend-paying oilfield-tooling micro-cap with a decent backlog but low returns and a small niche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trusted-x-watch (@a_basumallick weekly 'STOCK STORY', re-shared 2026-09-03). Per the x_watch_note it is an 'explicit NOT-A-RECOMMENDATION disclaimer, documentation of study only' — a snippet mention, not a call. Per the tier-4.8 rule a 'neither' result simply exits with a last_analyzed_date.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(Step 3.05 found no match) -&gt; topic_slug null, web-only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weak — modest, cyclical oilfield capex; tam weak — small niche; moat weak — niche tooling with API certs; valuation weak — ~24x for ~6% ROE / ~6% growth). No written exception qualifies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clean balance sheet, backlog visibility and margin-led PAT growth, offset by low returns, a small niche and the fact that this is a study, not a conviction call.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2026-09-04T02:30:16.143Z</dcterms:created>
  <dcterms:modified xsi:type="dcterms:W3CDTF">2026-09-04T02:30:16.144Z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