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United Foodbrands Ltd (Barbeque Nation)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Barbeque Nation's holding company - a ~Rs 800 Cr, loss-making dine-in buffet chain with ~12 straight quarters of negative same-store sales, now adding net debt to open 35 new restaurants; a recent low-base SSSG bounce does not yet fix a possibly-broken model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United Foodbrands (renamed from Barbeque Nation Hospitality) operates the Barbeque Nation 'all-you-can-eat' buffet grill-restaurant chain - 230+ outlets in India plus a profitable international (Middle East) business - and the Toscano Italian brand. The model relies on high gross margins (~66%) and operating leverage from same-store footfall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800-2,988 Cr (sources vary widely; up ~185% in 1 year on turnaround hope)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1,468 Cr revenue; PAT ~ -Rs 43 Cr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Same-store sales</w:t>
            </w:r>
          </w:p>
        </w:tc>
        <w:tc>
          <w:tcPr>
            <w:tcW w:type="dxa" w:w="5800"/>
          </w:tcPr>
          <w:p>
            <w:r>
              <w:t xml:space="preserve">Negative for ~12 consecutive quarters; a low-base SSSG bounce of ~+28.7% in the most recent print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Swung to net debt ~Rs 80 Cr (Q3 FY26), management intends to cap at ~Rs 100 Cr but flags it may exceed that with new openings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~35 new restaurants planned in the year despite negative SSSG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Ratings</w:t>
            </w:r>
          </w:p>
        </w:tc>
        <w:tc>
          <w:tcPr>
            <w:tcW w:type="dxa" w:w="5800"/>
          </w:tcPr>
          <w:p>
            <w:r>
              <w:t xml:space="preserve">ICRA outlook revised to Negative from Stable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problem is structural and long-running: roughly 12 consecutive quarters of negative same-store sales growth, three years of declining EBITDA, persistent losses, and a balance sheet that has flipped from cash to ~Rs 80 Cr net debt while management keeps opening ~35 restaurants a year. Analysts on the Q2 FY26 concall (Counter Cyclical's Madhur Rati) openly questioned the logic of 'starting a new fire' with new stores while existing SSSG stays negative. The bull counter (Ishan_Kapoor, 15% position) is a deep-value / asymmetric read - a two-decade brand, ~Rs 800 Cr mcap vs 60-70 Cr FCF, high operating leverage if footfalls ever turn. The most recent SSSG of ~+28.7% is a genuine positive but comes off a deeply depressed base, and even bulls (RocketMan, elevated) call the risk-reward unattractive irrespective of whether the turnaround plays out.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is up ~185% off its lows on turnaround speculation but remains well below listing levels.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98-post thread, heavily engaged and mostly skeptical. The structural bear case (CHAC3MEN, ashish.iit, StonePitbull, FIby2025): 12 quarters of negative SSSG, EBITDA down 3 years, an easily-replicable model, a possible secular shift away from 'all-you-can-eat buffet' toward delivery, and rising competition (Absolute Barbecues; peer Speciality Restaurants is growing fine, so Barbeque Nation's problems look company-specific). StonePitbull (elevated) holds a 1% position and describes being 'trapped'. Bulls are a minority - Ishan_Kapoor (15% position, '10-year no-brainer'), CHIRAG_BARASARA (respects management's stubborn consistency and never-skipped concalls). GST cuts and lower food inflation are cited as possible Q3 tailwinds. Kenneth Andrade holds a small (~1.2%) position.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Elevated-tier users in-thread lean negative: StonePitbull (1% position, 'trapped') and RocketMan ('risk-reward unattractive, market has already delivered its verdict'). No positive trusted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ICRA credit-rating outlook revised to Negative from Stable. Company renamed from Barbeque Nation Hospitality to United Foodbrands. Net debt ~Rs 80 Cr and rising. Management has never skipped a concall.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Two-decade brand with high recall; ~Rs 800 Cr mcap against a stated 60-70 Cr FCF base and 230+ outlets including a profitable international arm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~66% gross margin means very high operating leverage - a sustained SSSG turn drops most incremental revenue to EBITDA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SSSG print ~+28.7% (off a low base); GST rate cuts and lower food inflation are potential Q3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is consistent and communicative (never skipped a concall); Kenneth Andrade holds a small position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~12 consecutive quarters of negative same-store sales - the defining fact, and it makes new-store openings value-destructive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loss-making, EBITDA down three years, and the balance sheet has flipped to ~Rs 80 Cr net debt with 35 new stores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buffet dine-in model may be in secular decline vs delivery; the model is easily replicable and peer Speciality Restaurants is doing fine, so the problems look company-specific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ICRA outlook cut to Negative; even bullish elevated-tier posters call the risk-reward unattractive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 SSSG bounce is off a depressed base and not yet corroborated by absolute footfall (ADS still in the FY24 range)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800 Cr - 3,000 Cr depending on source)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loss-making chain with 12 quarters of negative SSSG, rising debt, a replicable model and a possibly-broken buffet format; the deep-value bull case is speculative and unconfirmed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turnaround bet on a possibly-broken buffet model - 12 quarters of negative SSSG, fresh net debt and aggressive expansion; the recent low-base SSSG bounce is not enough. thesis_fit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Both the multi-year record (12 quarters negative SSSG, 3 years of EBITDA decline, persistent losses) and the balance-sheet trend (cash to ~Rs 80 Cr net debt while opening 35 stores) are weak.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Applying the small/mid-cap recent-inflection rule: the ~+28.7% SSSG print is a recent improvement, but it is off a deeply depressed base, absolute footfall (ADS) is still at FY24 levels, and even bullish elevated-tier posters judge the risk-reward unattractive - so this does not clear the bar for a '10x-in-2-3-years, unconfirmed' upgrade.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Elevated-tier users in-thread (StonePitbull, RocketMan) are net-negative; no positive trusted conviction call,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(no negative net worth, no promoter-holding collapse, no active SEBI action). thesis_fit neither; conviction Low. Not flagged for 30-day revisit; recheck after 2-3 more quarters if SSSG stays positive and losses narrow.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2026-08-30T12:51:17.990Z</dcterms:created>
  <dcterms:modified xsi:type="dcterms:W3CDTF">2026-08-30T12:51:17.990Z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