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Vaibhav Global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Vertically-integrated TV/digital jewellery retailer showing real operating leverage, with a live, unresolved bull/bear debate as of today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Vaibhav Global sources and sells jewellery and lifestyle products via TV shopping and digital channels in the US, UK, and Germany, targeting middle-aged and older demographics with a vertically integrated (Zara-like) supply chain and 60%+ gross margins.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3,750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Low, 13.7% over last 3 years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Poor 7.77% over 5 years, but recent quarter +12.7% YoY (Rs 917.1 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CAGR</w:t>
            </w:r>
          </w:p>
        </w:tc>
        <w:tc>
          <w:tcPr>
            <w:tcW w:type="dxa" w:w="5800"/>
          </w:tcPr>
          <w:p>
            <w:r>
              <w:t xml:space="preserve">9.36% vs industry median 3.81%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174.13 - 293.25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real recent-quarter inflection (+12.7% YoY in the June quarter) against a weaker trailing 5-year average (7.77%) — this is a small/mid-cap consumer-discretionary name where the recent trend is more representative of current business momentum than the multi-year drag from earlier COVID-era and macro-driven weakness.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520 posts (2024-2026, single batch — the thread's own most recent posts are from today, 2026-08-24, capturing a live and current debate, so no further escalation was needed). Sentiment has moved through several phases: revenue-growth skepticism (mid-2024), a real operating-leverage story building through late 2024/early 2025 as margins expanded faster than sales, a guidance downgrade (Jan 2025, from 14-17% to 12% FY25 growth citing weak UK/Europe consumer sentiment), a favorable tax tribunal ruling (July 2025, ~Rs 150 Cr in demands deleted), and — as of today — a fresh, explicitly unresolved bull/bear exchange.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nirvana_laha (non-trusted but the most engaged and highest-loved poster in this window, 32-36 loves across several posts) built a detailed operating-leverage thesis: sustained double-digit PAT growth on modest revenue growth via cost discipline, estimating a plausible ~Rs 8,000 Cr market cap if FY25 PAT assumptions hold. Simrat (trusted) pushed back in Jan 2025 that the PAT growth was partly an easy year-over-year comp, not yet proof of a sustained margin structure. hnk_so (trusted) flagged a known institutional investor (Nalanda India Fund) reducing its stake as the likely driver of a price correction (Dec 2024). Most notably, today (2026-08-24) two non-trusted users posted a fresh, directly opposing pair of posts: Shivansh_Bansal made a bull case (13-17x earnings, revenue at an all-time high, operating profit growing faster than sales), immediately countered by Dhiren_Barvadiya's bear case (declining TV-sales terminal value, rising digital customer-acquisition costs, growth roughly flat once currency/tariff-refund noise is excluded).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July 2025: Income Tax Appellate Tribunal ruled in the company's favor, deleting ~Rs 150.66 Cr (Rs 91.81 Cr + Rs 58.85 Cr across two assessment years) of previously raised tax demands — a real, favorable, dated resolution.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recent-quarter revenue acceleration (+12.7% YoY) against a weaker trailing average, with genuine operating leverage showing up in margin expansion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favorable July 2025 tax tribunal ruling removed ~Rs 150 Cr of contingent liability overhang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Trading at a reasonable 13-17x earnings per today's community discussion, with revenue at an all-time high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Vertically integrated, 60%+ gross-margin business model with a defensible niche (TV/digital shopping for an underserved older demographic)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trusted user (Simrat) directly challenged whether recent PAT growth reflects a sustained margin structure or an easy prior-year comparison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company already downgraded its own FY25 growth guidance once (from 14-17% to 12%) citing weak UK/Europe consumer sentiment — a real guidance-credibility flag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Today's bear case (Dhiren_Barvadiya) raises a specific, structural concern: TV sales (the legacy channel) may be declining faster than digital sales are growing, with digital growth itself accompanied by rising customer-acquisition costs — an unresolved terminal-value question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known institutional investor (Nalanda India Fund) was reducing its stake as of late 2024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3,750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operating-leverage story at a reasonable valuation, but today's live bull/bear debate over channel-mix terminal value is real and unresolved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recent-quarter inflection (+12.7% YoY) plus real margin expansion and a cleared tax overhang support a small/mid-cap growth case at a reasonable valuation (13-17x per the community's own current estimate)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the terminal-value question raised today — whether digital growth can outrun TV-channel decline before customer-acquisition costs erode the margin story — is a specific, credible, and completely unresolved risk as of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Given the genuine recent inflection and no red flag, this clears the thesis bar at low-to-medium conviction, best revisited once the digital-vs-TV mix debate develops further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2026-08-24T12:50:09.496Z</dcterms:created>
  <dcterms:modified xsi:type="dcterms:W3CDTF">2026-08-24T12:50:09.496Z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