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Vaxfab Enterprises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Micro-cap agri-commodity trading company after a huge price run — auditor disclaimer of opinion, zero promoter holding, 400+ debtor days</w:t>
      </w:r>
    </w:p>
    <w:p>
      <w:pPr>
        <w:shd w:fill="FFF0F0" w:val="clear"/>
        <w:spacing w:after="200"/>
      </w:pPr>
      <w:r>
        <w:rPr>
          <w:b/>
          <w:bCs/>
          <w:color w:val="A32020"/>
          <w:sz w:val="22"/>
          <w:szCs w:val="22"/>
        </w:rPr>
        <w:t xml:space="preserve">RED FLAG TIER: AVOID — </w:t>
      </w:r>
      <w:r>
        <w:rPr>
          <w:sz w:val="20"/>
          <w:szCs w:val="20"/>
        </w:rPr>
        <w:t xml:space="preserve">Auditor disclaimer of opinion on standalone results (prior-record / MSMED-Act compliance), no promoter holding (public ~100%), and debtor days ~414 — the reported financials cannot be relied upon.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Vaxfab Enterprises Ltd (formerly Ellora Trading Ltd) trades agricultural commodities and has announced an intent to diversify into trading textiles and clothing. BSE-listed micro-cap (~Rs 166 Cr).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150-166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FY26 revenue ~Rs 100 Cr; net profit ~Rs 3.6 Cr (swung positive)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3-year average ~7.2%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Debt/equity ~0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Working capital</w:t>
            </w:r>
          </w:p>
        </w:tc>
        <w:tc>
          <w:tcPr>
            <w:tcW w:type="dxa" w:w="5800"/>
          </w:tcPr>
          <w:p>
            <w:r>
              <w:t xml:space="preserve">Debtor days ~414 — up from ~302 at the prior screen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Holding</w:t>
            </w:r>
          </w:p>
        </w:tc>
        <w:tc>
          <w:tcPr>
            <w:tcW w:type="dxa" w:w="5800"/>
          </w:tcPr>
          <w:p>
            <w:r>
              <w:t xml:space="preserve">Public shareholders ~100% — no promoter or institutional holding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Audit</w:t>
            </w:r>
          </w:p>
        </w:tc>
        <w:tc>
          <w:tcPr>
            <w:tcW w:type="dxa" w:w="5800"/>
          </w:tcPr>
          <w:p>
            <w:r>
              <w:t xml:space="preserve">Auditor issued a disclaimer on standalone results (prior-record / MSMED Act compliance issues)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company has swung to a small net profit (~Rs 3.6 Cr) since the old 108-stock screen flagged it AVOID for being loss-making with ~302 debtor days after a +241% one-year run. But the situation is not cleaner: debtor days are now ~414, there is effectively no promoter holding (public ~100%), and the auditor issued a disclaimer on the standalone financials citing prior-record and MSMED-Act compliance issues. A disclaimer of opinion means the reported numbers cannot be relied on.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pulled; prior +241% one-year move well ahead of fundamentals.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 found in a category-11/14/17 search (Step 3.05). topic_slug set to null; web-only write-up. Filtered at the preliminary stage on red-flag grounds — no deep read.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— no dedicated VP thread, no trusted-roster coverage.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Auditor disclaimer on standalone results; zero promoter holding; debtor days ~414. Each is a serious quality/governance flag on its own.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Now nominally profitable and debt-free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Stated intent to diversify the trading book into textiles/clothing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Auditor disclaimer of opinion on standalone results — the reported financials cannot be relied upon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promoter holding at all (public ~100%) — no accountable controlling shareholder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Debtor days ~414 — a severe collections / working-capital red flag, worse than at the prior 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Commodity-trading economics are structurally thin and low-quality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Prior +241% price move remains far ahead of the fundamentals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Microcap (~Rs 150-166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AVOID — auditor disclaimer, no promoter holding and 400+ debtor days make the numbers untrustworthy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Re-check of a legacy-108-screen seed; the old 2026-08-15 AVOID (loss-making, high debtor days) is retained. A small reported profit does not offset an auditor disclaimer of opinion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Zero promoter holding plus ~414 debtor days plus the disclaimer is a combination that fails the quality gate outright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Filtered before any deep dive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2026-08-29T04:03:12.074Z</dcterms:created>
  <dcterms:modified xsi:type="dcterms:W3CDTF">2026-08-29T04:03:12.074Z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