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Veefin Solutions Ltd</w:t>
      </w:r>
    </w:p>
    <w:p>
      <w:pPr>
        <w:pBdr>
          <w:bottom w:val="single" w:color="CCCCCC" w:sz="6" w:space="8"/>
        </w:pBdr>
        <w:spacing w:after="200"/>
      </w:pPr>
      <w:r>
        <w:rPr>
          <w:i/>
          <w:iCs/>
          <w:color w:val="666666"/>
          <w:sz w:val="22"/>
          <w:szCs w:val="22"/>
        </w:rPr>
        <w:t xml:space="preserve">Supply-chain-finance SaaS with a genuine PSB Xchange platform ambition, but low returns on a fast-growing capital base, promoter pledge, expensive debt and soft Q1 FY27 - exclusion still holds</w:t>
      </w:r>
    </w:p>
    <w:p>
      <w:pPr>
        <w:pStyle w:val="Heading1"/>
        <w:spacing w:after="120" w:before="280"/>
      </w:pPr>
      <w:r>
        <w:t xml:space="preserve">Business Overview</w:t>
      </w:r>
    </w:p>
    <w:p>
      <w:pPr>
        <w:spacing w:after="120"/>
      </w:pPr>
      <w:r>
        <w:t xml:space="preserve">Supply-chain / working-capital finance SaaS for banks and NBFCs (PSB Xchange rail with the PSB Alliance), grown sharply via acquisitions (GlobeTF, Estorifi and others); BSE-SME listed 2023, migrating to BSE main board + direct NSE listing.</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Valuation</w:t>
            </w:r>
          </w:p>
        </w:tc>
        <w:tc>
          <w:tcPr>
            <w:tcW w:type="dxa" w:w="5800"/>
          </w:tcPr>
          <w:p>
            <w:r>
              <w:t xml:space="preserve">~Rs 750 Cr (per community; SME board)</w:t>
            </w:r>
          </w:p>
        </w:tc>
      </w:tr>
      <w:tr>
        <w:tc>
          <w:tcPr>
            <w:tcW w:type="dxa" w:w="3200"/>
            <w:shd w:fill="F2F2F2" w:val="clear"/>
          </w:tcPr>
          <w:p>
            <w:r>
              <w:rPr>
                <w:b/>
                <w:bCs/>
              </w:rPr>
              <w:t xml:space="preserve">FY26 revenue (consol)</w:t>
            </w:r>
          </w:p>
        </w:tc>
        <w:tc>
          <w:tcPr>
            <w:tcW w:type="dxa" w:w="5800"/>
          </w:tcPr>
          <w:p>
            <w:r>
              <w:t xml:space="preserve">~Rs 345 Cr, +339% YoY (largely acquisition-driven)</w:t>
            </w:r>
          </w:p>
        </w:tc>
      </w:tr>
      <w:tr>
        <w:tc>
          <w:tcPr>
            <w:tcW w:type="dxa" w:w="3200"/>
            <w:shd w:fill="F2F2F2" w:val="clear"/>
          </w:tcPr>
          <w:p>
            <w:r>
              <w:rPr>
                <w:b/>
                <w:bCs/>
              </w:rPr>
              <w:t xml:space="preserve">FY26 PAT (consol)</w:t>
            </w:r>
          </w:p>
        </w:tc>
        <w:tc>
          <w:tcPr>
            <w:tcW w:type="dxa" w:w="5800"/>
          </w:tcPr>
          <w:p>
            <w:r>
              <w:t xml:space="preserve">~Rs 32 Cr, +~97% YoY</w:t>
            </w:r>
          </w:p>
        </w:tc>
      </w:tr>
      <w:tr>
        <w:tc>
          <w:tcPr>
            <w:tcW w:type="dxa" w:w="3200"/>
            <w:shd w:fill="F2F2F2" w:val="clear"/>
          </w:tcPr>
          <w:p>
            <w:r>
              <w:rPr>
                <w:b/>
                <w:bCs/>
              </w:rPr>
              <w:t xml:space="preserve">Returns</w:t>
            </w:r>
          </w:p>
        </w:tc>
        <w:tc>
          <w:tcPr>
            <w:tcW w:type="dxa" w:w="5800"/>
          </w:tcPr>
          <w:p>
            <w:r>
              <w:t xml:space="preserve">ROE / ROCE below cost of capital (capital raised and invested upfront; monetisation delayed)</w:t>
            </w:r>
          </w:p>
        </w:tc>
      </w:tr>
      <w:tr>
        <w:tc>
          <w:tcPr>
            <w:tcW w:type="dxa" w:w="3200"/>
            <w:shd w:fill="F2F2F2" w:val="clear"/>
          </w:tcPr>
          <w:p>
            <w:r>
              <w:rPr>
                <w:b/>
                <w:bCs/>
              </w:rPr>
              <w:t xml:space="preserve">Balance sheet</w:t>
            </w:r>
          </w:p>
        </w:tc>
        <w:tc>
          <w:tcPr>
            <w:tcW w:type="dxa" w:w="5800"/>
          </w:tcPr>
          <w:p>
            <w:r>
              <w:t xml:space="preserve">Promoter shares (~Rs 200 Cr) pledged against ~Rs 65 Cr group borrowing; 'expensive debt' raised</w:t>
            </w:r>
          </w:p>
        </w:tc>
      </w:tr>
      <w:tr>
        <w:tc>
          <w:tcPr>
            <w:tcW w:type="dxa" w:w="3200"/>
            <w:shd w:fill="F2F2F2" w:val="clear"/>
          </w:tcPr>
          <w:p>
            <w:r>
              <w:rPr>
                <w:b/>
                <w:bCs/>
              </w:rPr>
              <w:t xml:space="preserve">Corporate action</w:t>
            </w:r>
          </w:p>
        </w:tc>
        <w:tc>
          <w:tcPr>
            <w:tcW w:type="dxa" w:w="5800"/>
          </w:tcPr>
          <w:p>
            <w:r>
              <w:t xml:space="preserve">Shareholder approval (21 Jul 2026, 100%) for BSE main-board migration + direct NSE listing; NCLT amalgamation of GlobeTF/Estorifi pending</w:t>
            </w:r>
          </w:p>
        </w:tc>
      </w:tr>
    </w:tbl>
    <w:p>
      <w:pPr>
        <w:spacing w:after="100"/>
      </w:pPr>
    </w:p>
    <w:p>
      <w:pPr>
        <w:spacing w:after="120"/>
      </w:pPr>
      <w:r>
        <w:t xml:space="preserve">Headline FY26 growth (+339%) is dominated by consolidation of acquired entities, not organic scaling. As several community members (and elevated-tier user Shail1234) note, returns are below the cost of capital because the capital base has expanded far faster than profit or operating cash flow, and PSB Xchange adoption has not yet converted into visible revenue. Q1 FY27 was 'very soft' with management repeatedly citing PSU-bank onboarding delays; an invested poster flagged 'survival risks' if execution does not improve in 1-2 quarters, given the inability to raise equity at the current price and the expensive debt already taken.</w:t>
      </w:r>
    </w:p>
    <w:p>
      <w:pPr>
        <w:pStyle w:val="Heading1"/>
        <w:spacing w:after="120" w:before="280"/>
      </w:pPr>
      <w:r>
        <w:t xml:space="preserve">Technical Read (Weekly / Monthly MACD + Bollinger Bands, or RSI/CCI/Williams %R proxy)</w:t>
      </w:r>
    </w:p>
    <w:p>
      <w:pPr>
        <w:spacing w:after="120"/>
      </w:pPr>
      <w:r/>
    </w:p>
    <w:p>
      <w:pPr>
        <w:pStyle w:val="Heading1"/>
        <w:spacing w:after="120" w:before="280"/>
      </w:pPr>
      <w:r>
        <w:t xml:space="preserve">ValuePickr Community Signal</w:t>
      </w:r>
    </w:p>
    <w:p>
      <w:pPr>
        <w:spacing w:after="120"/>
      </w:pPr>
      <w:r>
        <w:t xml:space="preserve">First deep forum read (posts #63-113, Jan-Aug 2026, 50 posts). A prolific non-trusted bull (UdayChandak) argues a platform-moat / network-effect thesis around PSB Xchange (PNB, BoB, Central Bank onboarded; anchors Shree Cement, RR Kabel). Elevated-tier user Shail1234 is consistently skeptical - questions valuation vs Nucleus Software, notes 'not exponential growth', and in the latest post (#113, 24 Aug) agrees with narenarora's bearish Q1 FY27 summary. narenarora (#112, invested) - soft Q1, PSU-delay excuses, expensive debt, possible survival risk.</w:t>
      </w:r>
    </w:p>
    <w:p>
      <w:pPr>
        <w:spacing w:after="120"/>
      </w:pPr>
      <w:r>
        <w:rPr>
          <w:b/>
          <w:bCs/>
          <w:sz w:val="20"/>
          <w:szCs w:val="20"/>
        </w:rPr>
        <w:t xml:space="preserve">High-conviction call from a top contributor: </w:t>
      </w:r>
      <w:r>
        <w:rPr>
          <w:sz w:val="20"/>
          <w:szCs w:val="20"/>
        </w:rPr>
        <w:t xml:space="preserve">Shail1234 (elevated) - repeatedly skeptical, latest post endorses the bear summary. No trusted-roster buy conviction. Multiple invested posters 'counting losses'.</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2026-08-24 — Shail1234</w:t>
      </w:r>
      <w:r>
        <w:rPr>
          <w:i/>
          <w:iCs/>
          <w:color w:val="666666"/>
          <w:sz w:val="18"/>
          <w:szCs w:val="18"/>
        </w:rPr>
        <w:t xml:space="preserve"> (Veefin Solutions)</w:t>
      </w:r>
      <w:r>
        <w:rPr>
          <w:sz w:val="20"/>
          <w:szCs w:val="20"/>
        </w:rPr>
        <w:br/>
        <w:t xml:space="preserve">: Endorsed a bearish Q1 FY27 summary (soft numbers, PSU-delay excuses, expensive debt, survival risk) - 'thats the right summarized situation of company'.</w:t>
      </w:r>
    </w:p>
    <w:p>
      <w:pPr>
        <w:pStyle w:val="Heading1"/>
        <w:spacing w:after="120" w:before="280"/>
      </w:pPr>
      <w:r>
        <w:t xml:space="preserve">BSE Corporate Actions / Other Red Flags</w:t>
      </w:r>
    </w:p>
    <w:p>
      <w:pPr>
        <w:spacing w:after="120"/>
      </w:pPr>
      <w:r/>
    </w:p>
    <w:p>
      <w:pPr>
        <w:pStyle w:val="Heading1"/>
        <w:spacing w:after="120" w:before="280"/>
      </w:pPr>
      <w:r>
        <w:t xml:space="preserve">Bull Case</w:t>
      </w:r>
    </w:p>
    <w:p>
      <w:pPr>
        <w:pStyle w:val="ListParagraph"/>
        <w:numPr>
          <w:ilvl w:val="0"/>
          <w:numId w:val="1"/>
        </w:numPr>
        <w:spacing w:after="60"/>
      </w:pPr>
      <w:r>
        <w:t xml:space="preserve">PSB Xchange platform ambition with PSB Alliance and 7-year exclusivity; several PSU banks and large anchors onboarded</w:t>
      </w:r>
    </w:p>
    <w:p>
      <w:pPr>
        <w:pStyle w:val="ListParagraph"/>
        <w:numPr>
          <w:ilvl w:val="0"/>
          <w:numId w:val="1"/>
        </w:numPr>
        <w:spacing w:after="60"/>
      </w:pPr>
      <w:r>
        <w:t xml:space="preserve">Main-board migration + direct NSE listing improves the governance format and liquidity</w:t>
      </w:r>
    </w:p>
    <w:p>
      <w:pPr>
        <w:pStyle w:val="ListParagraph"/>
        <w:numPr>
          <w:ilvl w:val="0"/>
          <w:numId w:val="1"/>
        </w:numPr>
        <w:spacing w:after="60"/>
      </w:pPr>
      <w:r>
        <w:t xml:space="preserve">FY26 headline growth optically very strong</w:t>
      </w:r>
    </w:p>
    <w:p>
      <w:pPr>
        <w:pStyle w:val="Heading1"/>
        <w:spacing w:after="120" w:before="280"/>
      </w:pPr>
      <w:r>
        <w:t xml:space="preserve">Bear Case / Key Risks</w:t>
      </w:r>
    </w:p>
    <w:p>
      <w:pPr>
        <w:pStyle w:val="ListParagraph"/>
        <w:numPr>
          <w:ilvl w:val="0"/>
          <w:numId w:val="1"/>
        </w:numPr>
        <w:spacing w:after="60"/>
      </w:pPr>
      <w:r>
        <w:t xml:space="preserve">FY26 +339% growth is acquisition-driven, not organic; ROE/ROCE below cost of capital</w:t>
      </w:r>
    </w:p>
    <w:p>
      <w:pPr>
        <w:pStyle w:val="ListParagraph"/>
        <w:numPr>
          <w:ilvl w:val="0"/>
          <w:numId w:val="1"/>
        </w:numPr>
        <w:spacing w:after="60"/>
      </w:pPr>
      <w:r>
        <w:t xml:space="preserve">Promoter pledge plus expensive debt, with equity raising blocked by a weak share price</w:t>
      </w:r>
    </w:p>
    <w:p>
      <w:pPr>
        <w:pStyle w:val="ListParagraph"/>
        <w:numPr>
          <w:ilvl w:val="0"/>
          <w:numId w:val="1"/>
        </w:numPr>
        <w:spacing w:after="60"/>
      </w:pPr>
      <w:r>
        <w:t xml:space="preserve">Q1 FY27 soft; management leaning on PSU-culture delays; invested holders flag survival risk if 1-2 quarters do not improve</w:t>
      </w:r>
    </w:p>
    <w:p>
      <w:pPr>
        <w:pStyle w:val="ListParagraph"/>
        <w:numPr>
          <w:ilvl w:val="0"/>
          <w:numId w:val="1"/>
        </w:numPr>
        <w:spacing w:after="60"/>
      </w:pPr>
      <w:r>
        <w:t xml:space="preserve">Platform adoption still not visible in revenue despite two years of announcements</w:t>
      </w:r>
    </w:p>
    <w:p>
      <w:pPr>
        <w:pStyle w:val="Heading1"/>
        <w:spacing w:after="120" w:before="280"/>
      </w:pPr>
      <w:r>
        <w:t xml:space="preserve">Market-Cap Tier (informational — not a gate in this project)</w:t>
      </w:r>
    </w:p>
    <w:p>
      <w:pPr>
        <w:spacing w:after="120"/>
      </w:pPr>
      <w:r>
        <w:rPr>
          <w:b/>
          <w:bCs/>
        </w:rPr>
        <w:t xml:space="preserve">Small-cap (~Rs 750 Cr, SME board)</w:t>
      </w:r>
    </w:p>
    <w:p>
      <w:pPr>
        <w:pStyle w:val="Heading1"/>
        <w:spacing w:after="120" w:before="280"/>
      </w:pPr>
      <w:r>
        <w:t xml:space="preserve">Thesis Fit</w:t>
      </w:r>
    </w:p>
    <w:p>
      <w:pPr>
        <w:spacing w:after="120"/>
      </w:pPr>
      <w:r>
        <w:rPr>
          <w:b/>
          <w:bCs/>
          <w:sz w:val="24"/>
          <w:szCs w:val="24"/>
        </w:rPr>
        <w:t xml:space="preserve">neither</w:t>
      </w:r>
    </w:p>
    <w:p>
      <w:pPr>
        <w:pStyle w:val="Heading1"/>
        <w:spacing w:after="120" w:before="280"/>
      </w:pPr>
      <w:r>
        <w:t xml:space="preserve">Verdict</w:t>
      </w:r>
    </w:p>
    <w:p>
      <w:pPr>
        <w:spacing w:after="120"/>
      </w:pPr>
      <w:r>
        <w:rPr>
          <w:b/>
          <w:bCs/>
          <w:sz w:val="24"/>
          <w:szCs w:val="24"/>
        </w:rPr>
        <w:t xml:space="preserve">Re-verification of an EXCLUDED name: the FY26 growth optics are acquisition-driven and the deep forum read reinforces the quality-gate failure - exclusion holds</w:t>
      </w:r>
    </w:p>
    <w:p>
      <w:pPr>
        <w:pStyle w:val="ListParagraph"/>
        <w:numPr>
          <w:ilvl w:val="0"/>
          <w:numId w:val="1"/>
        </w:numPr>
        <w:spacing w:after="60"/>
      </w:pPr>
      <w:r>
        <w:t xml:space="preserve">Re-verification stock (Sovrenn lead) - task was to test whether the EXCLUDED call still holds after the main-board-migration news. The migration is a governance-format positive, not a fundamental one.</w:t>
      </w:r>
    </w:p>
    <w:p>
      <w:pPr>
        <w:pStyle w:val="ListParagraph"/>
        <w:numPr>
          <w:ilvl w:val="0"/>
          <w:numId w:val="1"/>
        </w:numPr>
        <w:spacing w:after="60"/>
      </w:pPr>
      <w:r>
        <w:t xml:space="preserve">The first proper forum read reinforces rather than dispels the concerns: returns below cost of capital on a fast-inflating capital base, promoter pledge, expensive debt, an inability to raise equity, soft Q1 FY27, and elevated-tier user Shail1234 endorsing the bear summary. The +339% FY26 revenue is largely consolidation of acquisitions.</w:t>
      </w:r>
    </w:p>
    <w:p>
      <w:pPr>
        <w:pStyle w:val="ListParagraph"/>
        <w:numPr>
          <w:ilvl w:val="0"/>
          <w:numId w:val="1"/>
        </w:numPr>
        <w:spacing w:after="60"/>
      </w:pPr>
      <w:r>
        <w:t xml:space="preserve">Exclusion holds: status stays excluded, thesis_fit 'neither', conviction Low. No formal AVOID/EXCLUDE-tier trigger (no negative net worth, no SEBI/fraud order) and no defined HIGH CAUTION trigger (no auditor resignation, no promoter-holding collapse), so no red_flag_tier is set - but the pledge, expensive debt and 'survival risk' commentary are named as elevated caution. Re-check after the migration completes and if PSB Xchange adoption finally shows up in organic revenue and cash flow.</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2026-09-01T18:57:35.156Z</dcterms:created>
  <dcterms:modified xsi:type="dcterms:W3CDTF">2026-09-01T18:57:35.157Z</dcterms:modified>
</cp:coreProperties>
</file>

<file path=docProps/custom.xml><?xml version="1.0" encoding="utf-8"?>
<Properties xmlns="http://schemas.openxmlformats.org/officeDocument/2006/custom-properties" xmlns:vt="http://schemas.openxmlformats.org/officeDocument/2006/docPropsVTypes"/>
</file>