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Vimta Labs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Debt-light CRO/testing-services grower benefiting from new NDCT regulatory tailwinds, with an old but disclosed Ranbaxy-era reputational stain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Contract research and testing services company (clinical research, bioanalytical/preclinical, food/water/environment testing, biopharmaceutical testing) operating since 1990.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2,814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22.95%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18.55%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~20%/yr; 5yr profit CAGR 30.0%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0.73% (almost debt-free)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376.05 - 902.65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Strong, well-rounded fundamentals - high ROCE/ROE, real growth, minimal debt - genuinely promising on the numbers alone.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thread (39 of 44 posts, Feb 2022 to Sept 2025) start to finish, this being a smaller/older thread.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Marathondreams (trusted) posted an extract from the book 'Bottle of Lies' (2022) documenting Vimta Labs' historical involvement in the Ranbaxy bioequivalence-data-fabrication scandal (mid-2000s, WHO-uncovered); after discussion he stated 'company culture rarely changes... I have decided to give it a pass' - though this is now a 20+-year-old, publicly disclosed episode, not a fresh or unresolved concern. On the current business, phreakv6 (core-trusted) engaged in detailed research (Nov 2022) on the food-testing (JNPT/FSSAI) opportunity without stating a position either way. Santosh_Kadam (June 2025) flagged low promoter holding (36%) with senior management drawing high salaries as a governance-style watch item, though noted it's ambiguous. Most recently (Sept 2025), Piyush_gupta1 flagged that new NDCT (clinical trials) rule amendments cut regulatory approval timelines from 90 to 45 days for most drug categories - a direct, near-term tailwind for Vimta's clinical-testing throughput.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2022-03-14 — Marathondreams</w:t>
      </w:r>
      <w:r>
        <w:rPr>
          <w:i/>
          <w:iCs/>
          <w:color w:val="666666"/>
          <w:sz w:val="18"/>
          <w:szCs w:val="18"/>
        </w:rPr>
        <w:t xml:space="preserve"> (Vimta Labs Ltd (VLL))</w:t>
      </w:r>
      <w:r>
        <w:rPr>
          <w:sz w:val="20"/>
          <w:szCs w:val="20"/>
        </w:rPr>
        <w:br/>
        <w:t xml:space="preserve">: Flagged historical Ranbaxy-scandal link (Bottle of Lies extract) and decided to "give it a pass" on culture-risk grounds - old (2022), disclosed, not a fresh concern.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Strong, consistent capital efficiency (22.95% ROCE, 18.55% ROE) with minimal debt and real ~20%/yr growth - among the cleanest fundamental profiles in this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 NDCT regulatory amendments (Sept 2025) cut testing-approval timelines nearly in half, a direct near-term operational tailwind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40-year operating history and passed recent US FDA and WHO inspections (per Feb 2023 concall), suggesting current-day compliance standards are distinct from the historical episode below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China+1 diversification tailwind for contract research/testing demand, cited by early community thesis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Historical (mid-2000s) involvement in the Ranbaxy bioequivalence-data-fabrication scandal, documented in 'Bottle of Lies' and discussed on-thread - old and disclosed, but caused at least one trusted community member to pass on the stock entirely on cultural-risk grounds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is relatively low (36%) with a competitor separately holding 19% - an ambiguous signal the community itself couldn't resolve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Heavy ongoing capex requirement for growth, with asset turns already elevated (~1.5x) per community balance-sheet 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Thread has been quiet since Sept 2025, so the NDCT tailwind's actual financial impact isn't yet community-validated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2,814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Clean current-day fundamentals and a fresh regulatory tailwind, weighed against an old but real reputational stain that gave at least one trusted investor pause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and the fresh NDCT tailwind are genuinely strong and specific, not speculative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Ranbaxy-era stain is 20+ years old and disclosed, not a fresh or unresolved governance issue, so it does not rise to this project's HIGH CAUTION bar, but is worth carrying as a qualitative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Ambiguous promoter-holding signal (36%) is worth independent verification before sizing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2026-08-23T15:39:07.267Z</dcterms:created>
  <dcterms:modified xsi:type="dcterms:W3CDTF">2026-08-23T15:39:07.268Z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